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AB51A" w14:textId="77777777" w:rsidR="009B081B" w:rsidRPr="00874B16" w:rsidRDefault="00F82A58" w:rsidP="00F82A58">
      <w:pPr>
        <w:spacing w:line="480" w:lineRule="auto"/>
        <w:rPr>
          <w:b/>
          <w:sz w:val="24"/>
          <w:szCs w:val="24"/>
        </w:rPr>
      </w:pPr>
      <w:r w:rsidRPr="00874B16">
        <w:rPr>
          <w:b/>
          <w:sz w:val="24"/>
          <w:szCs w:val="24"/>
        </w:rPr>
        <w:t xml:space="preserve">Evaluation of </w:t>
      </w:r>
      <w:r w:rsidR="00A43443">
        <w:rPr>
          <w:b/>
          <w:sz w:val="24"/>
          <w:szCs w:val="24"/>
        </w:rPr>
        <w:t>Eight Kale</w:t>
      </w:r>
      <w:r w:rsidRPr="00874B16">
        <w:rPr>
          <w:b/>
          <w:sz w:val="24"/>
          <w:szCs w:val="24"/>
        </w:rPr>
        <w:t xml:space="preserve"> Cultivars Grown Under an Open Shaded Structure</w:t>
      </w:r>
      <w:r w:rsidR="00382C06">
        <w:rPr>
          <w:b/>
          <w:sz w:val="24"/>
          <w:szCs w:val="24"/>
        </w:rPr>
        <w:t xml:space="preserve"> in North Florida</w:t>
      </w:r>
    </w:p>
    <w:p w14:paraId="389291BF" w14:textId="77777777" w:rsidR="00F82A58" w:rsidRPr="00874B16" w:rsidRDefault="00F82A58" w:rsidP="00F82A58">
      <w:pPr>
        <w:spacing w:line="480" w:lineRule="auto"/>
        <w:rPr>
          <w:sz w:val="24"/>
          <w:szCs w:val="24"/>
        </w:rPr>
      </w:pPr>
      <w:r w:rsidRPr="00874B16">
        <w:rPr>
          <w:sz w:val="24"/>
          <w:szCs w:val="24"/>
        </w:rPr>
        <w:t>Robert C. Hochmuth</w:t>
      </w:r>
      <w:r w:rsidRPr="00874B16">
        <w:rPr>
          <w:sz w:val="24"/>
          <w:szCs w:val="24"/>
          <w:vertAlign w:val="superscript"/>
        </w:rPr>
        <w:t>*</w:t>
      </w:r>
      <w:r w:rsidRPr="00874B16">
        <w:rPr>
          <w:sz w:val="24"/>
          <w:szCs w:val="24"/>
        </w:rPr>
        <w:t xml:space="preserve">, Wanda </w:t>
      </w:r>
      <w:r w:rsidR="00C968CC">
        <w:rPr>
          <w:sz w:val="24"/>
          <w:szCs w:val="24"/>
        </w:rPr>
        <w:t xml:space="preserve">L. </w:t>
      </w:r>
      <w:r w:rsidR="00A43443">
        <w:rPr>
          <w:sz w:val="24"/>
          <w:szCs w:val="24"/>
        </w:rPr>
        <w:t>Laughli</w:t>
      </w:r>
      <w:r w:rsidR="000460E8">
        <w:rPr>
          <w:sz w:val="24"/>
          <w:szCs w:val="24"/>
        </w:rPr>
        <w:t>n</w:t>
      </w:r>
      <w:r w:rsidRPr="00874B16">
        <w:rPr>
          <w:sz w:val="24"/>
          <w:szCs w:val="24"/>
        </w:rPr>
        <w:t xml:space="preserve">, </w:t>
      </w:r>
      <w:r w:rsidR="00874B16" w:rsidRPr="00874B16">
        <w:rPr>
          <w:sz w:val="24"/>
          <w:szCs w:val="24"/>
        </w:rPr>
        <w:t>Natalie</w:t>
      </w:r>
      <w:r w:rsidR="00F35651">
        <w:rPr>
          <w:sz w:val="24"/>
          <w:szCs w:val="24"/>
        </w:rPr>
        <w:t xml:space="preserve"> B. Parkell</w:t>
      </w:r>
      <w:r w:rsidR="00874B16" w:rsidRPr="00874B16">
        <w:rPr>
          <w:sz w:val="24"/>
          <w:szCs w:val="24"/>
        </w:rPr>
        <w:t xml:space="preserve">, </w:t>
      </w:r>
      <w:r w:rsidR="00A43443">
        <w:rPr>
          <w:sz w:val="24"/>
          <w:szCs w:val="24"/>
        </w:rPr>
        <w:t xml:space="preserve">and </w:t>
      </w:r>
      <w:r w:rsidR="00874B16" w:rsidRPr="00874B16">
        <w:rPr>
          <w:sz w:val="24"/>
          <w:szCs w:val="24"/>
        </w:rPr>
        <w:t>Betsy Martin</w:t>
      </w:r>
      <w:r w:rsidRPr="00874B16">
        <w:rPr>
          <w:sz w:val="24"/>
          <w:szCs w:val="24"/>
          <w:vertAlign w:val="superscript"/>
        </w:rPr>
        <w:t xml:space="preserve"> </w:t>
      </w:r>
    </w:p>
    <w:p w14:paraId="69EE1B0F" w14:textId="5AFA0268" w:rsidR="00F82A58" w:rsidRPr="00874B16" w:rsidRDefault="00F82A58" w:rsidP="00F82A58">
      <w:pPr>
        <w:spacing w:line="480" w:lineRule="auto"/>
        <w:rPr>
          <w:sz w:val="24"/>
          <w:szCs w:val="24"/>
        </w:rPr>
      </w:pPr>
      <w:r w:rsidRPr="00874B16">
        <w:rPr>
          <w:sz w:val="24"/>
          <w:szCs w:val="24"/>
        </w:rPr>
        <w:t xml:space="preserve">University of Florida, IFAS, </w:t>
      </w:r>
      <w:r w:rsidR="00D31289">
        <w:rPr>
          <w:sz w:val="24"/>
          <w:szCs w:val="24"/>
        </w:rPr>
        <w:t xml:space="preserve">North Florida Research and Education Center- </w:t>
      </w:r>
      <w:r w:rsidRPr="00874B16">
        <w:rPr>
          <w:sz w:val="24"/>
          <w:szCs w:val="24"/>
        </w:rPr>
        <w:t>Suwannee Valley, 7580 County Road 136 East, Live Oak, FL 32060-7434</w:t>
      </w:r>
    </w:p>
    <w:p w14:paraId="6E910402" w14:textId="77777777" w:rsidR="00F82A58" w:rsidRPr="00874B16" w:rsidRDefault="00F82A58" w:rsidP="00F82A58">
      <w:pPr>
        <w:spacing w:line="480" w:lineRule="auto"/>
        <w:rPr>
          <w:sz w:val="24"/>
          <w:szCs w:val="24"/>
        </w:rPr>
      </w:pPr>
      <w:r w:rsidRPr="00874B16">
        <w:rPr>
          <w:sz w:val="24"/>
          <w:szCs w:val="24"/>
        </w:rPr>
        <w:t>Additional index words: hydroponic, protected agriculture, season extension</w:t>
      </w:r>
    </w:p>
    <w:p w14:paraId="4C53C0B4" w14:textId="77777777" w:rsidR="00A43443" w:rsidRDefault="00F82A58" w:rsidP="00F82A58">
      <w:pPr>
        <w:spacing w:line="480" w:lineRule="auto"/>
        <w:rPr>
          <w:sz w:val="24"/>
          <w:szCs w:val="24"/>
        </w:rPr>
      </w:pPr>
      <w:r w:rsidRPr="00874B16">
        <w:rPr>
          <w:sz w:val="24"/>
          <w:szCs w:val="24"/>
        </w:rPr>
        <w:t xml:space="preserve">Footnote: This research was supported </w:t>
      </w:r>
      <w:r w:rsidRPr="00A43443">
        <w:rPr>
          <w:sz w:val="24"/>
          <w:szCs w:val="24"/>
        </w:rPr>
        <w:t xml:space="preserve">by </w:t>
      </w:r>
      <w:r w:rsidR="00A43443" w:rsidRPr="00A43443">
        <w:rPr>
          <w:sz w:val="24"/>
          <w:szCs w:val="24"/>
        </w:rPr>
        <w:t xml:space="preserve">Signature </w:t>
      </w:r>
      <w:r w:rsidR="00A43443">
        <w:rPr>
          <w:sz w:val="24"/>
          <w:szCs w:val="24"/>
        </w:rPr>
        <w:t>Supply (shade material), Double Thumb (coconut fiber/coir lay flat bags), and Johnny’s Selected Seeds (specialty crop seeds)</w:t>
      </w:r>
    </w:p>
    <w:p w14:paraId="44149C85" w14:textId="77777777" w:rsidR="00F82A58" w:rsidRDefault="00F82A58" w:rsidP="00F82A58">
      <w:pPr>
        <w:spacing w:line="480" w:lineRule="auto"/>
        <w:rPr>
          <w:sz w:val="24"/>
          <w:szCs w:val="24"/>
        </w:rPr>
      </w:pPr>
      <w:r w:rsidRPr="00874B16">
        <w:rPr>
          <w:sz w:val="24"/>
          <w:szCs w:val="24"/>
        </w:rPr>
        <w:t xml:space="preserve">* Corresponding author; email: </w:t>
      </w:r>
      <w:hyperlink r:id="rId7" w:history="1">
        <w:r w:rsidR="00874B16" w:rsidRPr="00F26EF4">
          <w:rPr>
            <w:rStyle w:val="Hyperlink"/>
            <w:sz w:val="24"/>
            <w:szCs w:val="24"/>
          </w:rPr>
          <w:t>bobhoch@ufl.edu</w:t>
        </w:r>
      </w:hyperlink>
    </w:p>
    <w:p w14:paraId="65C58011" w14:textId="77777777" w:rsidR="00874B16" w:rsidRDefault="00874B16" w:rsidP="00F82A58">
      <w:pPr>
        <w:spacing w:line="480" w:lineRule="auto"/>
        <w:rPr>
          <w:b/>
          <w:sz w:val="24"/>
          <w:szCs w:val="24"/>
        </w:rPr>
      </w:pPr>
      <w:r w:rsidRPr="00092343">
        <w:rPr>
          <w:b/>
          <w:sz w:val="24"/>
          <w:szCs w:val="24"/>
        </w:rPr>
        <w:t>Introduction</w:t>
      </w:r>
    </w:p>
    <w:p w14:paraId="64CEFFA3" w14:textId="459915AB" w:rsidR="00AB07FC" w:rsidRPr="00AB07FC" w:rsidRDefault="00262AB5" w:rsidP="00F82A58">
      <w:pPr>
        <w:spacing w:line="480" w:lineRule="auto"/>
        <w:rPr>
          <w:sz w:val="24"/>
          <w:szCs w:val="24"/>
        </w:rPr>
      </w:pPr>
      <w:r>
        <w:rPr>
          <w:sz w:val="24"/>
          <w:szCs w:val="24"/>
        </w:rPr>
        <w:t>Families in the United States are increasing</w:t>
      </w:r>
      <w:r w:rsidR="00D31289">
        <w:rPr>
          <w:sz w:val="24"/>
          <w:szCs w:val="24"/>
        </w:rPr>
        <w:t>ly</w:t>
      </w:r>
      <w:r>
        <w:rPr>
          <w:sz w:val="24"/>
          <w:szCs w:val="24"/>
        </w:rPr>
        <w:t xml:space="preserve"> concerned about the nutritional quality of the food they are consuming.  </w:t>
      </w:r>
      <w:r w:rsidRPr="00E56F90">
        <w:rPr>
          <w:sz w:val="24"/>
          <w:szCs w:val="24"/>
        </w:rPr>
        <w:t>Kale</w:t>
      </w:r>
      <w:r w:rsidR="00E56F90" w:rsidRPr="00E56F90">
        <w:rPr>
          <w:sz w:val="24"/>
          <w:szCs w:val="24"/>
        </w:rPr>
        <w:t xml:space="preserve"> </w:t>
      </w:r>
      <w:r w:rsidR="00E56F90" w:rsidRPr="00E56F90">
        <w:rPr>
          <w:sz w:val="20"/>
          <w:szCs w:val="20"/>
        </w:rPr>
        <w:t>(</w:t>
      </w:r>
      <w:r w:rsidR="00E56F90" w:rsidRPr="00E56F90">
        <w:rPr>
          <w:rStyle w:val="Emphasis"/>
          <w:rFonts w:ascii="Arial" w:hAnsi="Arial" w:cs="Arial"/>
          <w:color w:val="000000"/>
          <w:sz w:val="20"/>
          <w:szCs w:val="20"/>
          <w:lang w:val="en"/>
        </w:rPr>
        <w:t>Brassica oleracea</w:t>
      </w:r>
      <w:r w:rsidR="00B9300F">
        <w:rPr>
          <w:rStyle w:val="Emphasis"/>
          <w:rFonts w:ascii="Arial" w:hAnsi="Arial" w:cs="Arial"/>
          <w:color w:val="000000"/>
          <w:sz w:val="20"/>
          <w:szCs w:val="20"/>
          <w:lang w:val="en"/>
        </w:rPr>
        <w:t xml:space="preserve"> </w:t>
      </w:r>
      <w:r w:rsidR="00B9300F">
        <w:rPr>
          <w:rStyle w:val="Emphasis"/>
          <w:rFonts w:ascii="Arial" w:hAnsi="Arial" w:cs="Arial"/>
          <w:i w:val="0"/>
          <w:color w:val="000000"/>
          <w:sz w:val="20"/>
          <w:szCs w:val="20"/>
          <w:lang w:val="en"/>
        </w:rPr>
        <w:t>L. acephala group</w:t>
      </w:r>
      <w:r w:rsidR="00E56F90" w:rsidRPr="00E56F90">
        <w:rPr>
          <w:rStyle w:val="Emphasis"/>
          <w:rFonts w:ascii="Arial" w:hAnsi="Arial" w:cs="Arial"/>
          <w:color w:val="000000"/>
          <w:sz w:val="24"/>
          <w:szCs w:val="24"/>
          <w:lang w:val="en"/>
        </w:rPr>
        <w:t>)</w:t>
      </w:r>
      <w:r w:rsidR="00E56F90">
        <w:rPr>
          <w:rStyle w:val="Emphasis"/>
          <w:rFonts w:ascii="Arial" w:hAnsi="Arial" w:cs="Arial"/>
          <w:color w:val="000000"/>
          <w:sz w:val="18"/>
          <w:szCs w:val="18"/>
          <w:lang w:val="en"/>
        </w:rPr>
        <w:t xml:space="preserve"> </w:t>
      </w:r>
      <w:r>
        <w:rPr>
          <w:sz w:val="24"/>
          <w:szCs w:val="24"/>
        </w:rPr>
        <w:t xml:space="preserve">is a “powerhouse” vegetable that is becoming increasingly popular for providing valuable nutrients to our diets.  </w:t>
      </w:r>
      <w:r w:rsidR="00C968CC">
        <w:rPr>
          <w:sz w:val="24"/>
          <w:szCs w:val="24"/>
        </w:rPr>
        <w:t>Due to increased demand</w:t>
      </w:r>
      <w:r w:rsidR="00A43443">
        <w:rPr>
          <w:sz w:val="24"/>
          <w:szCs w:val="24"/>
        </w:rPr>
        <w:t>,</w:t>
      </w:r>
      <w:r w:rsidR="00C968CC">
        <w:rPr>
          <w:sz w:val="24"/>
          <w:szCs w:val="24"/>
        </w:rPr>
        <w:t xml:space="preserve"> </w:t>
      </w:r>
      <w:r w:rsidR="00A43443">
        <w:rPr>
          <w:sz w:val="24"/>
          <w:szCs w:val="24"/>
        </w:rPr>
        <w:t>k</w:t>
      </w:r>
      <w:r w:rsidR="006E0EA9">
        <w:rPr>
          <w:sz w:val="24"/>
          <w:szCs w:val="24"/>
        </w:rPr>
        <w:t>ale has become very popular at local markets such as farmer’s markets</w:t>
      </w:r>
      <w:r w:rsidR="00C82BD4">
        <w:rPr>
          <w:sz w:val="24"/>
          <w:szCs w:val="24"/>
        </w:rPr>
        <w:t>,</w:t>
      </w:r>
      <w:r w:rsidR="00C82BD4" w:rsidRPr="00C82BD4">
        <w:t xml:space="preserve"> </w:t>
      </w:r>
      <w:r w:rsidR="00C82BD4">
        <w:t>restaurants, on-farm sales, and community supported agriculture (CSA) programs</w:t>
      </w:r>
      <w:r w:rsidR="006E0EA9">
        <w:rPr>
          <w:sz w:val="24"/>
          <w:szCs w:val="24"/>
        </w:rPr>
        <w:t xml:space="preserve">.  This increased demand for locally grown vegetables has created new opportunities for farmers to establish a specialty crop enterprise. </w:t>
      </w:r>
      <w:r w:rsidR="00F35651" w:rsidRPr="00F35651">
        <w:rPr>
          <w:sz w:val="24"/>
          <w:szCs w:val="24"/>
        </w:rPr>
        <w:t xml:space="preserve">Kale is extremely hardy in many growing zones and, as a result, performs well nearly year-round in Florida. While various cultivars are still sensitive to the increased pressure of disease and insects that accompanies all summertime crops, many kale types can be grown, with appropriate strategies, nearly ten months out of the year, even in the southern zones of the state. </w:t>
      </w:r>
      <w:r w:rsidR="003022B1">
        <w:rPr>
          <w:sz w:val="24"/>
          <w:szCs w:val="24"/>
        </w:rPr>
        <w:t xml:space="preserve">Growers </w:t>
      </w:r>
      <w:r w:rsidR="009B0278">
        <w:rPr>
          <w:sz w:val="24"/>
          <w:szCs w:val="24"/>
        </w:rPr>
        <w:t xml:space="preserve">are </w:t>
      </w:r>
      <w:r w:rsidR="003022B1">
        <w:rPr>
          <w:sz w:val="24"/>
          <w:szCs w:val="24"/>
        </w:rPr>
        <w:t xml:space="preserve">using protected culture, such as a greenhouse, high </w:t>
      </w:r>
      <w:r w:rsidR="003022B1">
        <w:rPr>
          <w:sz w:val="24"/>
          <w:szCs w:val="24"/>
        </w:rPr>
        <w:lastRenderedPageBreak/>
        <w:t>tunnel, or even open shade structures to extend the typ</w:t>
      </w:r>
      <w:r w:rsidR="0020137C">
        <w:rPr>
          <w:sz w:val="24"/>
          <w:szCs w:val="24"/>
        </w:rPr>
        <w:t>ical marketing</w:t>
      </w:r>
      <w:r w:rsidR="003022B1">
        <w:rPr>
          <w:sz w:val="24"/>
          <w:szCs w:val="24"/>
        </w:rPr>
        <w:t xml:space="preserve"> season.  </w:t>
      </w:r>
      <w:r w:rsidR="0020137C">
        <w:rPr>
          <w:sz w:val="24"/>
          <w:szCs w:val="24"/>
        </w:rPr>
        <w:t xml:space="preserve">This trial was conducted to evaluate </w:t>
      </w:r>
      <w:r w:rsidR="00A43443">
        <w:rPr>
          <w:sz w:val="24"/>
          <w:szCs w:val="24"/>
        </w:rPr>
        <w:t>eight</w:t>
      </w:r>
      <w:r w:rsidR="0020137C">
        <w:rPr>
          <w:sz w:val="24"/>
          <w:szCs w:val="24"/>
        </w:rPr>
        <w:t xml:space="preserve"> </w:t>
      </w:r>
      <w:r w:rsidR="00382C06">
        <w:rPr>
          <w:sz w:val="24"/>
          <w:szCs w:val="24"/>
        </w:rPr>
        <w:t xml:space="preserve">kale </w:t>
      </w:r>
      <w:r w:rsidR="0020137C">
        <w:rPr>
          <w:sz w:val="24"/>
          <w:szCs w:val="24"/>
        </w:rPr>
        <w:t xml:space="preserve">cultivars </w:t>
      </w:r>
      <w:r w:rsidR="009B0278">
        <w:rPr>
          <w:sz w:val="24"/>
          <w:szCs w:val="24"/>
        </w:rPr>
        <w:t xml:space="preserve">for </w:t>
      </w:r>
      <w:r w:rsidR="00A43443">
        <w:rPr>
          <w:sz w:val="24"/>
          <w:szCs w:val="24"/>
        </w:rPr>
        <w:t>yield and quality</w:t>
      </w:r>
      <w:r w:rsidR="009B0278">
        <w:rPr>
          <w:sz w:val="24"/>
          <w:szCs w:val="24"/>
        </w:rPr>
        <w:t xml:space="preserve"> </w:t>
      </w:r>
      <w:r w:rsidR="005C3F09">
        <w:rPr>
          <w:sz w:val="24"/>
          <w:szCs w:val="24"/>
        </w:rPr>
        <w:t>during the early summer months</w:t>
      </w:r>
      <w:r w:rsidR="00382C06">
        <w:rPr>
          <w:sz w:val="24"/>
          <w:szCs w:val="24"/>
        </w:rPr>
        <w:t xml:space="preserve"> in North Florida</w:t>
      </w:r>
      <w:r w:rsidR="005C3F09">
        <w:rPr>
          <w:sz w:val="24"/>
          <w:szCs w:val="24"/>
        </w:rPr>
        <w:t xml:space="preserve"> </w:t>
      </w:r>
      <w:r w:rsidR="00656F9D">
        <w:rPr>
          <w:sz w:val="24"/>
          <w:szCs w:val="24"/>
        </w:rPr>
        <w:t xml:space="preserve">using a hydroponic system </w:t>
      </w:r>
      <w:r w:rsidR="00462199">
        <w:rPr>
          <w:sz w:val="24"/>
          <w:szCs w:val="24"/>
        </w:rPr>
        <w:t>under</w:t>
      </w:r>
      <w:r w:rsidR="0020137C">
        <w:rPr>
          <w:sz w:val="24"/>
          <w:szCs w:val="24"/>
        </w:rPr>
        <w:t xml:space="preserve"> </w:t>
      </w:r>
      <w:r w:rsidR="00462199">
        <w:rPr>
          <w:sz w:val="24"/>
          <w:szCs w:val="24"/>
        </w:rPr>
        <w:t xml:space="preserve">an open shade structure using </w:t>
      </w:r>
      <w:r w:rsidR="00382C06">
        <w:rPr>
          <w:sz w:val="24"/>
          <w:szCs w:val="24"/>
        </w:rPr>
        <w:t>lay-flat bags of coconut coir (</w:t>
      </w:r>
      <w:proofErr w:type="spellStart"/>
      <w:r w:rsidR="009B0278">
        <w:rPr>
          <w:sz w:val="24"/>
          <w:szCs w:val="24"/>
        </w:rPr>
        <w:t>Botanicoir</w:t>
      </w:r>
      <w:proofErr w:type="spellEnd"/>
      <w:r w:rsidR="009B0278">
        <w:rPr>
          <w:sz w:val="24"/>
          <w:szCs w:val="24"/>
        </w:rPr>
        <w:t xml:space="preserve"> “Dry”</w:t>
      </w:r>
      <w:r w:rsidR="0020137C">
        <w:rPr>
          <w:sz w:val="24"/>
          <w:szCs w:val="24"/>
        </w:rPr>
        <w:t xml:space="preserve"> lay</w:t>
      </w:r>
      <w:r w:rsidR="00382C06">
        <w:rPr>
          <w:sz w:val="24"/>
          <w:szCs w:val="24"/>
        </w:rPr>
        <w:t>-</w:t>
      </w:r>
      <w:r w:rsidR="0020137C">
        <w:rPr>
          <w:sz w:val="24"/>
          <w:szCs w:val="24"/>
        </w:rPr>
        <w:t xml:space="preserve"> flat bags</w:t>
      </w:r>
      <w:r w:rsidR="00382C06">
        <w:rPr>
          <w:sz w:val="24"/>
          <w:szCs w:val="24"/>
        </w:rPr>
        <w:t>, Double Thumb, Lake Wales, FL</w:t>
      </w:r>
      <w:r w:rsidR="009B0278">
        <w:rPr>
          <w:sz w:val="24"/>
          <w:szCs w:val="24"/>
        </w:rPr>
        <w:t>).</w:t>
      </w:r>
    </w:p>
    <w:p w14:paraId="74320CE5" w14:textId="77777777" w:rsidR="00874B16" w:rsidRPr="000B612C" w:rsidRDefault="00874B16" w:rsidP="00F82A58">
      <w:pPr>
        <w:spacing w:line="480" w:lineRule="auto"/>
        <w:rPr>
          <w:b/>
          <w:sz w:val="24"/>
          <w:szCs w:val="24"/>
        </w:rPr>
      </w:pPr>
      <w:r w:rsidRPr="000B612C">
        <w:rPr>
          <w:b/>
          <w:sz w:val="24"/>
          <w:szCs w:val="24"/>
        </w:rPr>
        <w:t>Materials and Methods</w:t>
      </w:r>
    </w:p>
    <w:p w14:paraId="3F25909F" w14:textId="59FFC86D" w:rsidR="00B95A72" w:rsidRDefault="00F15AFF" w:rsidP="009E65ED">
      <w:pPr>
        <w:spacing w:line="480" w:lineRule="auto"/>
        <w:ind w:firstLine="720"/>
        <w:rPr>
          <w:color w:val="FF0000"/>
          <w:sz w:val="24"/>
          <w:szCs w:val="24"/>
        </w:rPr>
      </w:pPr>
      <w:r>
        <w:rPr>
          <w:sz w:val="24"/>
          <w:szCs w:val="24"/>
        </w:rPr>
        <w:t xml:space="preserve">The trial </w:t>
      </w:r>
      <w:r w:rsidR="00403853">
        <w:rPr>
          <w:sz w:val="24"/>
          <w:szCs w:val="24"/>
        </w:rPr>
        <w:t>was</w:t>
      </w:r>
      <w:r>
        <w:rPr>
          <w:sz w:val="24"/>
          <w:szCs w:val="24"/>
        </w:rPr>
        <w:t xml:space="preserve"> conducted under an open 40x40 ft</w:t>
      </w:r>
      <w:r w:rsidR="008345C9">
        <w:rPr>
          <w:sz w:val="24"/>
          <w:szCs w:val="24"/>
        </w:rPr>
        <w:t>.</w:t>
      </w:r>
      <w:r>
        <w:rPr>
          <w:sz w:val="24"/>
          <w:szCs w:val="24"/>
        </w:rPr>
        <w:t xml:space="preserve"> commercial shade structure (Atlas, </w:t>
      </w:r>
      <w:proofErr w:type="spellStart"/>
      <w:r>
        <w:rPr>
          <w:sz w:val="24"/>
          <w:szCs w:val="24"/>
        </w:rPr>
        <w:t>Alapaha</w:t>
      </w:r>
      <w:proofErr w:type="spellEnd"/>
      <w:r>
        <w:rPr>
          <w:sz w:val="24"/>
          <w:szCs w:val="24"/>
        </w:rPr>
        <w:t xml:space="preserve">, GA).  The structure was made from galvanized pipe and covered with a </w:t>
      </w:r>
      <w:r w:rsidR="00A43443">
        <w:rPr>
          <w:sz w:val="24"/>
          <w:szCs w:val="24"/>
        </w:rPr>
        <w:t>silver</w:t>
      </w:r>
      <w:r w:rsidR="000460E8">
        <w:rPr>
          <w:sz w:val="24"/>
          <w:szCs w:val="24"/>
        </w:rPr>
        <w:t xml:space="preserve"> 30%</w:t>
      </w:r>
      <w:r w:rsidR="001402A5">
        <w:rPr>
          <w:sz w:val="24"/>
          <w:szCs w:val="24"/>
        </w:rPr>
        <w:t xml:space="preserve"> </w:t>
      </w:r>
      <w:r>
        <w:rPr>
          <w:sz w:val="24"/>
          <w:szCs w:val="24"/>
        </w:rPr>
        <w:t>poly</w:t>
      </w:r>
      <w:r w:rsidR="00A84A82">
        <w:rPr>
          <w:sz w:val="24"/>
          <w:szCs w:val="24"/>
        </w:rPr>
        <w:t>propylene shade cloth</w:t>
      </w:r>
      <w:r w:rsidR="006E60BA">
        <w:rPr>
          <w:sz w:val="24"/>
          <w:szCs w:val="24"/>
        </w:rPr>
        <w:t xml:space="preserve"> </w:t>
      </w:r>
      <w:r w:rsidR="009E65ED">
        <w:rPr>
          <w:sz w:val="24"/>
          <w:szCs w:val="24"/>
        </w:rPr>
        <w:t xml:space="preserve">(Signature Supply). </w:t>
      </w:r>
      <w:r>
        <w:rPr>
          <w:sz w:val="24"/>
          <w:szCs w:val="24"/>
        </w:rPr>
        <w:t>The peak of the structure was 10 ft</w:t>
      </w:r>
      <w:r w:rsidR="008345C9">
        <w:rPr>
          <w:sz w:val="24"/>
          <w:szCs w:val="24"/>
        </w:rPr>
        <w:t>.</w:t>
      </w:r>
      <w:r>
        <w:rPr>
          <w:sz w:val="24"/>
          <w:szCs w:val="24"/>
        </w:rPr>
        <w:t xml:space="preserve"> tall.  Kale </w:t>
      </w:r>
      <w:r w:rsidR="00A43443">
        <w:rPr>
          <w:sz w:val="24"/>
          <w:szCs w:val="24"/>
        </w:rPr>
        <w:t>was</w:t>
      </w:r>
      <w:r>
        <w:rPr>
          <w:sz w:val="24"/>
          <w:szCs w:val="24"/>
        </w:rPr>
        <w:t xml:space="preserve"> grown in </w:t>
      </w:r>
      <w:proofErr w:type="spellStart"/>
      <w:r>
        <w:rPr>
          <w:sz w:val="24"/>
          <w:szCs w:val="24"/>
        </w:rPr>
        <w:t>Botanicoir</w:t>
      </w:r>
      <w:proofErr w:type="spellEnd"/>
      <w:r>
        <w:rPr>
          <w:sz w:val="24"/>
          <w:szCs w:val="24"/>
        </w:rPr>
        <w:t xml:space="preserve"> “Dry” grow bags </w:t>
      </w:r>
      <w:r w:rsidR="000B612C">
        <w:rPr>
          <w:sz w:val="24"/>
          <w:szCs w:val="24"/>
        </w:rPr>
        <w:t xml:space="preserve">(coconut fiber/coir lay flat bags) </w:t>
      </w:r>
      <w:r w:rsidR="00A43443">
        <w:rPr>
          <w:sz w:val="24"/>
          <w:szCs w:val="24"/>
        </w:rPr>
        <w:t xml:space="preserve">arranged in </w:t>
      </w:r>
      <w:r w:rsidR="00B9300F">
        <w:rPr>
          <w:sz w:val="24"/>
          <w:szCs w:val="24"/>
        </w:rPr>
        <w:t xml:space="preserve">randomized </w:t>
      </w:r>
      <w:r w:rsidR="00A43443">
        <w:rPr>
          <w:sz w:val="24"/>
          <w:szCs w:val="24"/>
        </w:rPr>
        <w:t>complete blocks with four replications</w:t>
      </w:r>
      <w:r w:rsidR="008345C9">
        <w:rPr>
          <w:sz w:val="24"/>
          <w:szCs w:val="24"/>
        </w:rPr>
        <w:t xml:space="preserve">. </w:t>
      </w:r>
      <w:r w:rsidR="000B612C">
        <w:rPr>
          <w:sz w:val="24"/>
          <w:szCs w:val="24"/>
        </w:rPr>
        <w:t>Plants were spaced</w:t>
      </w:r>
      <w:r w:rsidR="00B95A72">
        <w:rPr>
          <w:sz w:val="24"/>
          <w:szCs w:val="24"/>
        </w:rPr>
        <w:t xml:space="preserve"> </w:t>
      </w:r>
      <w:r w:rsidR="00A43443">
        <w:rPr>
          <w:sz w:val="24"/>
          <w:szCs w:val="24"/>
        </w:rPr>
        <w:t>six inches apart</w:t>
      </w:r>
      <w:r w:rsidR="00B95A72">
        <w:rPr>
          <w:sz w:val="24"/>
          <w:szCs w:val="24"/>
        </w:rPr>
        <w:t xml:space="preserve"> </w:t>
      </w:r>
      <w:r w:rsidR="00DC2DD1">
        <w:rPr>
          <w:sz w:val="24"/>
          <w:szCs w:val="24"/>
        </w:rPr>
        <w:t>within the bags</w:t>
      </w:r>
      <w:r w:rsidR="00B95A72">
        <w:rPr>
          <w:sz w:val="24"/>
          <w:szCs w:val="24"/>
        </w:rPr>
        <w:t xml:space="preserve">.  </w:t>
      </w:r>
      <w:r w:rsidR="006E60BA">
        <w:rPr>
          <w:sz w:val="24"/>
          <w:szCs w:val="24"/>
        </w:rPr>
        <w:t>Eight c</w:t>
      </w:r>
      <w:r w:rsidR="00A43443">
        <w:rPr>
          <w:sz w:val="24"/>
          <w:szCs w:val="24"/>
        </w:rPr>
        <w:t>ultivars were</w:t>
      </w:r>
      <w:r w:rsidR="006E60BA">
        <w:rPr>
          <w:sz w:val="24"/>
          <w:szCs w:val="24"/>
        </w:rPr>
        <w:t xml:space="preserve"> selected from </w:t>
      </w:r>
      <w:r w:rsidR="00A43443">
        <w:rPr>
          <w:sz w:val="24"/>
          <w:szCs w:val="24"/>
        </w:rPr>
        <w:t>industry standard</w:t>
      </w:r>
      <w:r w:rsidR="00444379">
        <w:rPr>
          <w:sz w:val="24"/>
          <w:szCs w:val="24"/>
        </w:rPr>
        <w:t>s</w:t>
      </w:r>
      <w:r w:rsidR="00A43443">
        <w:rPr>
          <w:sz w:val="24"/>
          <w:szCs w:val="24"/>
        </w:rPr>
        <w:t>, new</w:t>
      </w:r>
      <w:r w:rsidR="00DC2DD1">
        <w:rPr>
          <w:sz w:val="24"/>
          <w:szCs w:val="24"/>
        </w:rPr>
        <w:t xml:space="preserve">, </w:t>
      </w:r>
      <w:r w:rsidR="00A43443">
        <w:rPr>
          <w:sz w:val="24"/>
          <w:szCs w:val="24"/>
        </w:rPr>
        <w:t xml:space="preserve">and </w:t>
      </w:r>
      <w:r w:rsidR="00DC2DD1">
        <w:rPr>
          <w:sz w:val="24"/>
          <w:szCs w:val="24"/>
        </w:rPr>
        <w:t xml:space="preserve">heirloom </w:t>
      </w:r>
      <w:r w:rsidR="00A43443">
        <w:rPr>
          <w:sz w:val="24"/>
          <w:szCs w:val="24"/>
        </w:rPr>
        <w:t>cultivars</w:t>
      </w:r>
      <w:r w:rsidR="00DC2DD1">
        <w:rPr>
          <w:sz w:val="24"/>
          <w:szCs w:val="24"/>
        </w:rPr>
        <w:t xml:space="preserve">.  </w:t>
      </w:r>
      <w:r w:rsidR="00A43443">
        <w:rPr>
          <w:sz w:val="24"/>
          <w:szCs w:val="24"/>
        </w:rPr>
        <w:t>The k</w:t>
      </w:r>
      <w:r w:rsidR="00B95A72">
        <w:rPr>
          <w:sz w:val="24"/>
          <w:szCs w:val="24"/>
        </w:rPr>
        <w:t>ale crop was established on February 16</w:t>
      </w:r>
      <w:r w:rsidR="00A43443">
        <w:rPr>
          <w:sz w:val="24"/>
          <w:szCs w:val="24"/>
        </w:rPr>
        <w:t>,</w:t>
      </w:r>
      <w:r w:rsidR="00E23BDA">
        <w:rPr>
          <w:sz w:val="24"/>
          <w:szCs w:val="24"/>
        </w:rPr>
        <w:t xml:space="preserve"> </w:t>
      </w:r>
      <w:r w:rsidR="00D31289">
        <w:rPr>
          <w:sz w:val="24"/>
          <w:szCs w:val="24"/>
        </w:rPr>
        <w:t>2015,</w:t>
      </w:r>
      <w:r w:rsidR="00A43443">
        <w:rPr>
          <w:sz w:val="24"/>
          <w:szCs w:val="24"/>
        </w:rPr>
        <w:t xml:space="preserve"> </w:t>
      </w:r>
      <w:r w:rsidR="00B95A72">
        <w:rPr>
          <w:sz w:val="24"/>
          <w:szCs w:val="24"/>
        </w:rPr>
        <w:t>using transplants that were seeded on January 14</w:t>
      </w:r>
      <w:r w:rsidR="00382C06">
        <w:rPr>
          <w:sz w:val="24"/>
          <w:szCs w:val="24"/>
        </w:rPr>
        <w:t>, 2015</w:t>
      </w:r>
      <w:r w:rsidR="00B95A72">
        <w:rPr>
          <w:sz w:val="24"/>
          <w:szCs w:val="24"/>
        </w:rPr>
        <w:t xml:space="preserve">. </w:t>
      </w:r>
      <w:r w:rsidR="000B612C">
        <w:rPr>
          <w:sz w:val="24"/>
          <w:szCs w:val="24"/>
        </w:rPr>
        <w:t xml:space="preserve">Bags were arranged in double rows with </w:t>
      </w:r>
      <w:r w:rsidR="00444379">
        <w:rPr>
          <w:sz w:val="24"/>
          <w:szCs w:val="24"/>
        </w:rPr>
        <w:t>4</w:t>
      </w:r>
      <w:r w:rsidR="00382C06">
        <w:rPr>
          <w:sz w:val="24"/>
          <w:szCs w:val="24"/>
        </w:rPr>
        <w:t>-</w:t>
      </w:r>
      <w:r w:rsidR="000B612C">
        <w:rPr>
          <w:sz w:val="24"/>
          <w:szCs w:val="24"/>
        </w:rPr>
        <w:t xml:space="preserve">ft spacing between the centers of the </w:t>
      </w:r>
      <w:r w:rsidR="00382C06">
        <w:rPr>
          <w:sz w:val="24"/>
          <w:szCs w:val="24"/>
        </w:rPr>
        <w:t xml:space="preserve">double </w:t>
      </w:r>
      <w:r w:rsidR="000B612C">
        <w:rPr>
          <w:sz w:val="24"/>
          <w:szCs w:val="24"/>
        </w:rPr>
        <w:t xml:space="preserve">rows. There was </w:t>
      </w:r>
      <w:r w:rsidR="00A43443">
        <w:rPr>
          <w:sz w:val="24"/>
          <w:szCs w:val="24"/>
        </w:rPr>
        <w:t>a spacing of six inches</w:t>
      </w:r>
      <w:r w:rsidR="000B612C">
        <w:rPr>
          <w:sz w:val="24"/>
          <w:szCs w:val="24"/>
        </w:rPr>
        <w:t xml:space="preserve"> between bags</w:t>
      </w:r>
      <w:r w:rsidR="008017B7">
        <w:rPr>
          <w:sz w:val="24"/>
          <w:szCs w:val="24"/>
        </w:rPr>
        <w:t xml:space="preserve"> within each </w:t>
      </w:r>
      <w:r w:rsidR="00A43443">
        <w:rPr>
          <w:sz w:val="24"/>
          <w:szCs w:val="24"/>
        </w:rPr>
        <w:t xml:space="preserve">double </w:t>
      </w:r>
      <w:r w:rsidR="008017B7">
        <w:rPr>
          <w:sz w:val="24"/>
          <w:szCs w:val="24"/>
        </w:rPr>
        <w:t>row</w:t>
      </w:r>
      <w:r w:rsidR="008345C9">
        <w:rPr>
          <w:sz w:val="24"/>
          <w:szCs w:val="24"/>
        </w:rPr>
        <w:t xml:space="preserve"> (</w:t>
      </w:r>
      <w:r w:rsidR="00563311">
        <w:rPr>
          <w:sz w:val="24"/>
          <w:szCs w:val="24"/>
        </w:rPr>
        <w:t>F</w:t>
      </w:r>
      <w:r w:rsidR="008345C9">
        <w:rPr>
          <w:sz w:val="24"/>
          <w:szCs w:val="24"/>
        </w:rPr>
        <w:t>igure 1).</w:t>
      </w:r>
    </w:p>
    <w:p w14:paraId="1F29FF1A" w14:textId="052D07CA" w:rsidR="0059120C" w:rsidRPr="008017B7" w:rsidRDefault="00C61271" w:rsidP="009E65ED">
      <w:pPr>
        <w:spacing w:line="480" w:lineRule="auto"/>
        <w:ind w:firstLine="720"/>
        <w:rPr>
          <w:color w:val="C00000"/>
          <w:sz w:val="24"/>
          <w:szCs w:val="24"/>
        </w:rPr>
      </w:pPr>
      <w:r>
        <w:rPr>
          <w:sz w:val="24"/>
          <w:szCs w:val="24"/>
        </w:rPr>
        <w:t>The c</w:t>
      </w:r>
      <w:r w:rsidR="0059120C">
        <w:rPr>
          <w:sz w:val="24"/>
          <w:szCs w:val="24"/>
        </w:rPr>
        <w:t>ro</w:t>
      </w:r>
      <w:r>
        <w:rPr>
          <w:sz w:val="24"/>
          <w:szCs w:val="24"/>
        </w:rPr>
        <w:t xml:space="preserve">p was irrigated and fertilized using a hydroponic nutrient solution and low volume delivery system using </w:t>
      </w:r>
      <w:r w:rsidR="00A43443">
        <w:rPr>
          <w:sz w:val="24"/>
          <w:szCs w:val="24"/>
        </w:rPr>
        <w:t>half</w:t>
      </w:r>
      <w:r w:rsidR="00403853">
        <w:rPr>
          <w:sz w:val="24"/>
          <w:szCs w:val="24"/>
        </w:rPr>
        <w:t>-</w:t>
      </w:r>
      <w:r w:rsidR="00A43443">
        <w:rPr>
          <w:sz w:val="24"/>
          <w:szCs w:val="24"/>
        </w:rPr>
        <w:t>inch diameter</w:t>
      </w:r>
      <w:r w:rsidR="0059120C">
        <w:rPr>
          <w:sz w:val="24"/>
          <w:szCs w:val="24"/>
        </w:rPr>
        <w:t xml:space="preserve"> poly tubing</w:t>
      </w:r>
      <w:r>
        <w:rPr>
          <w:sz w:val="24"/>
          <w:szCs w:val="24"/>
        </w:rPr>
        <w:t xml:space="preserve"> </w:t>
      </w:r>
      <w:r w:rsidR="008017B7">
        <w:rPr>
          <w:sz w:val="24"/>
          <w:szCs w:val="24"/>
        </w:rPr>
        <w:t xml:space="preserve">laid between bags in the row </w:t>
      </w:r>
      <w:r>
        <w:rPr>
          <w:sz w:val="24"/>
          <w:szCs w:val="24"/>
        </w:rPr>
        <w:t xml:space="preserve">with 3 </w:t>
      </w:r>
      <w:r w:rsidR="008017B7">
        <w:rPr>
          <w:sz w:val="24"/>
          <w:szCs w:val="24"/>
        </w:rPr>
        <w:t>emitters</w:t>
      </w:r>
      <w:r>
        <w:rPr>
          <w:sz w:val="24"/>
          <w:szCs w:val="24"/>
        </w:rPr>
        <w:t xml:space="preserve"> per bag</w:t>
      </w:r>
      <w:r w:rsidR="008017B7">
        <w:rPr>
          <w:sz w:val="24"/>
          <w:szCs w:val="24"/>
        </w:rPr>
        <w:t>. T</w:t>
      </w:r>
      <w:r w:rsidR="0059120C">
        <w:rPr>
          <w:sz w:val="24"/>
          <w:szCs w:val="24"/>
        </w:rPr>
        <w:t xml:space="preserve">he </w:t>
      </w:r>
      <w:r w:rsidR="007C64D1">
        <w:rPr>
          <w:sz w:val="24"/>
          <w:szCs w:val="24"/>
        </w:rPr>
        <w:t xml:space="preserve">pH of the </w:t>
      </w:r>
      <w:r w:rsidR="0059120C">
        <w:rPr>
          <w:sz w:val="24"/>
          <w:szCs w:val="24"/>
        </w:rPr>
        <w:t xml:space="preserve">nutrient solution was set at 5.8 and the EC was set at 2.0 </w:t>
      </w:r>
      <w:proofErr w:type="spellStart"/>
      <w:r w:rsidR="0059120C">
        <w:rPr>
          <w:sz w:val="24"/>
          <w:szCs w:val="24"/>
        </w:rPr>
        <w:t>millimos</w:t>
      </w:r>
      <w:proofErr w:type="spellEnd"/>
      <w:r w:rsidR="0059120C">
        <w:rPr>
          <w:sz w:val="24"/>
          <w:szCs w:val="24"/>
        </w:rPr>
        <w:t>.  The nutrient solution provided approximately 150</w:t>
      </w:r>
      <w:r w:rsidR="00A84A82">
        <w:rPr>
          <w:sz w:val="24"/>
          <w:szCs w:val="24"/>
        </w:rPr>
        <w:t xml:space="preserve"> </w:t>
      </w:r>
      <w:r w:rsidR="0059120C">
        <w:rPr>
          <w:sz w:val="24"/>
          <w:szCs w:val="24"/>
        </w:rPr>
        <w:t>ppm N, 50 ppm P, 200 ppm K, 48 ppm Mg, 220 ppm Ca, 60 ppm S, 3.5 ppm Fe, 0.3 ppm Cu, 1.3 ppm Mn, 0.3pp</w:t>
      </w:r>
      <w:r w:rsidR="00A37D7F">
        <w:rPr>
          <w:sz w:val="24"/>
          <w:szCs w:val="24"/>
        </w:rPr>
        <w:t>m Zn,</w:t>
      </w:r>
      <w:r w:rsidR="006E60BA">
        <w:rPr>
          <w:sz w:val="24"/>
          <w:szCs w:val="24"/>
        </w:rPr>
        <w:t xml:space="preserve"> 0.7 ppm B, and 0.05 Mo (</w:t>
      </w:r>
      <w:r w:rsidR="0059120C">
        <w:rPr>
          <w:sz w:val="24"/>
          <w:szCs w:val="24"/>
        </w:rPr>
        <w:t>Hochmuth and Hochmuth, 2008)</w:t>
      </w:r>
      <w:r w:rsidR="008017B7">
        <w:rPr>
          <w:sz w:val="24"/>
          <w:szCs w:val="24"/>
        </w:rPr>
        <w:t xml:space="preserve">. </w:t>
      </w:r>
      <w:r w:rsidR="009E65ED">
        <w:rPr>
          <w:sz w:val="24"/>
          <w:szCs w:val="24"/>
        </w:rPr>
        <w:t xml:space="preserve">Irrigation scheduling during the trial was set to </w:t>
      </w:r>
      <w:r w:rsidR="009E65ED">
        <w:rPr>
          <w:sz w:val="24"/>
          <w:szCs w:val="24"/>
        </w:rPr>
        <w:lastRenderedPageBreak/>
        <w:t xml:space="preserve">provide </w:t>
      </w:r>
      <w:r w:rsidR="00A43443">
        <w:rPr>
          <w:sz w:val="24"/>
          <w:szCs w:val="24"/>
        </w:rPr>
        <w:t>10-</w:t>
      </w:r>
      <w:r w:rsidR="009E65ED">
        <w:rPr>
          <w:sz w:val="24"/>
          <w:szCs w:val="24"/>
        </w:rPr>
        <w:t>20% leaching at each irrigation event.  The number and duration of the events increased as the crops grew, star</w:t>
      </w:r>
      <w:r w:rsidR="00583A6B">
        <w:rPr>
          <w:sz w:val="24"/>
          <w:szCs w:val="24"/>
        </w:rPr>
        <w:t>t</w:t>
      </w:r>
      <w:r w:rsidR="009E65ED">
        <w:rPr>
          <w:sz w:val="24"/>
          <w:szCs w:val="24"/>
        </w:rPr>
        <w:t>ing with three events per day at transplanting and increasing to six events per day at peak crop demand.</w:t>
      </w:r>
    </w:p>
    <w:p w14:paraId="292C4C08" w14:textId="144C9F92" w:rsidR="002C3758" w:rsidRDefault="0059120C" w:rsidP="009E65ED">
      <w:pPr>
        <w:spacing w:line="480" w:lineRule="auto"/>
        <w:ind w:firstLine="720"/>
        <w:rPr>
          <w:sz w:val="24"/>
          <w:szCs w:val="24"/>
        </w:rPr>
      </w:pPr>
      <w:r>
        <w:rPr>
          <w:sz w:val="24"/>
          <w:szCs w:val="24"/>
        </w:rPr>
        <w:t>Insect pests and diseases were managed using a weekly scouting program and treatment</w:t>
      </w:r>
      <w:r w:rsidR="00403853">
        <w:rPr>
          <w:sz w:val="24"/>
          <w:szCs w:val="24"/>
        </w:rPr>
        <w:t>s</w:t>
      </w:r>
      <w:r>
        <w:rPr>
          <w:sz w:val="24"/>
          <w:szCs w:val="24"/>
        </w:rPr>
        <w:t xml:space="preserve"> as needed.</w:t>
      </w:r>
      <w:r w:rsidR="00C61271">
        <w:rPr>
          <w:sz w:val="24"/>
          <w:szCs w:val="24"/>
        </w:rPr>
        <w:t xml:space="preserve"> </w:t>
      </w:r>
      <w:r w:rsidR="002C3758">
        <w:rPr>
          <w:sz w:val="24"/>
          <w:szCs w:val="24"/>
        </w:rPr>
        <w:t xml:space="preserve">Soft insecticide </w:t>
      </w:r>
      <w:r w:rsidR="009E65ED" w:rsidRPr="009E65ED">
        <w:rPr>
          <w:sz w:val="24"/>
          <w:szCs w:val="24"/>
        </w:rPr>
        <w:t>applications</w:t>
      </w:r>
      <w:r w:rsidR="009E65ED">
        <w:rPr>
          <w:sz w:val="24"/>
          <w:szCs w:val="24"/>
        </w:rPr>
        <w:t xml:space="preserve"> were </w:t>
      </w:r>
      <w:r w:rsidR="002C3758">
        <w:rPr>
          <w:sz w:val="24"/>
          <w:szCs w:val="24"/>
        </w:rPr>
        <w:t xml:space="preserve">used to manage </w:t>
      </w:r>
      <w:r w:rsidR="00382C06">
        <w:rPr>
          <w:sz w:val="24"/>
          <w:szCs w:val="24"/>
        </w:rPr>
        <w:t>insect</w:t>
      </w:r>
      <w:r w:rsidR="00A37D7F">
        <w:rPr>
          <w:sz w:val="24"/>
          <w:szCs w:val="24"/>
        </w:rPr>
        <w:t xml:space="preserve"> </w:t>
      </w:r>
      <w:r w:rsidR="008A4887">
        <w:rPr>
          <w:sz w:val="24"/>
          <w:szCs w:val="24"/>
        </w:rPr>
        <w:t>pests</w:t>
      </w:r>
      <w:r w:rsidR="002C3758">
        <w:rPr>
          <w:sz w:val="24"/>
          <w:szCs w:val="24"/>
        </w:rPr>
        <w:t>.  Plots were harvested 6 times beginning April 16 and ending July 10</w:t>
      </w:r>
      <w:r w:rsidR="0010600E">
        <w:rPr>
          <w:sz w:val="24"/>
          <w:szCs w:val="24"/>
        </w:rPr>
        <w:t xml:space="preserve"> (</w:t>
      </w:r>
      <w:r w:rsidR="00563311">
        <w:rPr>
          <w:sz w:val="24"/>
          <w:szCs w:val="24"/>
        </w:rPr>
        <w:t>F</w:t>
      </w:r>
      <w:r w:rsidR="0010600E">
        <w:rPr>
          <w:sz w:val="24"/>
          <w:szCs w:val="24"/>
        </w:rPr>
        <w:t xml:space="preserve">igure </w:t>
      </w:r>
      <w:r w:rsidR="00563311">
        <w:rPr>
          <w:sz w:val="24"/>
          <w:szCs w:val="24"/>
        </w:rPr>
        <w:t>2</w:t>
      </w:r>
      <w:r w:rsidR="0010600E">
        <w:rPr>
          <w:sz w:val="24"/>
          <w:szCs w:val="24"/>
        </w:rPr>
        <w:t>)</w:t>
      </w:r>
      <w:r w:rsidR="008F0082">
        <w:rPr>
          <w:sz w:val="24"/>
          <w:szCs w:val="24"/>
        </w:rPr>
        <w:t xml:space="preserve">. </w:t>
      </w:r>
      <w:r w:rsidR="002C3758">
        <w:rPr>
          <w:sz w:val="24"/>
          <w:szCs w:val="24"/>
        </w:rPr>
        <w:t xml:space="preserve">Weights were recorded (Table 1). </w:t>
      </w:r>
    </w:p>
    <w:p w14:paraId="236DA29A" w14:textId="35B27FA4" w:rsidR="00C61271" w:rsidRPr="009E65ED" w:rsidRDefault="002C3758" w:rsidP="009E65ED">
      <w:pPr>
        <w:spacing w:line="480" w:lineRule="auto"/>
        <w:ind w:firstLine="720"/>
        <w:rPr>
          <w:sz w:val="24"/>
          <w:szCs w:val="24"/>
        </w:rPr>
      </w:pPr>
      <w:r w:rsidRPr="00CD6127">
        <w:rPr>
          <w:sz w:val="24"/>
          <w:szCs w:val="24"/>
        </w:rPr>
        <w:t>All data were analyzed using</w:t>
      </w:r>
      <w:r w:rsidR="00B9300F" w:rsidRPr="00CD6127">
        <w:rPr>
          <w:sz w:val="24"/>
          <w:szCs w:val="24"/>
        </w:rPr>
        <w:t xml:space="preserve"> a</w:t>
      </w:r>
      <w:r w:rsidR="00B9300F">
        <w:rPr>
          <w:sz w:val="24"/>
          <w:szCs w:val="24"/>
        </w:rPr>
        <w:t xml:space="preserve"> mixed linear </w:t>
      </w:r>
      <w:proofErr w:type="gramStart"/>
      <w:r w:rsidR="00B9300F">
        <w:rPr>
          <w:sz w:val="24"/>
          <w:szCs w:val="24"/>
        </w:rPr>
        <w:t>models</w:t>
      </w:r>
      <w:proofErr w:type="gramEnd"/>
      <w:r w:rsidR="00B9300F">
        <w:rPr>
          <w:sz w:val="24"/>
          <w:szCs w:val="24"/>
        </w:rPr>
        <w:t xml:space="preserve"> approach as implement</w:t>
      </w:r>
      <w:r w:rsidR="001608B3">
        <w:rPr>
          <w:sz w:val="24"/>
          <w:szCs w:val="24"/>
        </w:rPr>
        <w:t>ed</w:t>
      </w:r>
      <w:r w:rsidR="00B9300F">
        <w:rPr>
          <w:sz w:val="24"/>
          <w:szCs w:val="24"/>
        </w:rPr>
        <w:t xml:space="preserve"> in SAS PROC </w:t>
      </w:r>
      <w:r w:rsidR="00027EBF">
        <w:rPr>
          <w:sz w:val="24"/>
          <w:szCs w:val="24"/>
        </w:rPr>
        <w:t>GLIMMIX</w:t>
      </w:r>
      <w:r w:rsidR="00B9300F">
        <w:rPr>
          <w:sz w:val="24"/>
          <w:szCs w:val="24"/>
        </w:rPr>
        <w:t xml:space="preserve"> (SAS Stat 14.2, SAS Institute, Cary, NC).</w:t>
      </w:r>
      <w:r w:rsidR="001608B3">
        <w:rPr>
          <w:sz w:val="24"/>
          <w:szCs w:val="24"/>
        </w:rPr>
        <w:t xml:space="preserve"> Individual harvests were analyzed jointly using a repeated measures approach, where </w:t>
      </w:r>
      <w:r w:rsidR="00027EBF">
        <w:rPr>
          <w:sz w:val="24"/>
          <w:szCs w:val="24"/>
        </w:rPr>
        <w:t>E</w:t>
      </w:r>
      <w:r w:rsidR="001608B3">
        <w:rPr>
          <w:sz w:val="24"/>
          <w:szCs w:val="24"/>
        </w:rPr>
        <w:t xml:space="preserve">ntry and </w:t>
      </w:r>
      <w:r w:rsidR="00027EBF">
        <w:rPr>
          <w:sz w:val="24"/>
          <w:szCs w:val="24"/>
        </w:rPr>
        <w:t>Harvest Date</w:t>
      </w:r>
      <w:r w:rsidR="001608B3">
        <w:rPr>
          <w:sz w:val="24"/>
          <w:szCs w:val="24"/>
        </w:rPr>
        <w:t xml:space="preserve"> were fixed effects and Block and Entry x Block random effects. The residual variance structure was </w:t>
      </w:r>
      <w:proofErr w:type="gramStart"/>
      <w:r w:rsidR="001608B3">
        <w:rPr>
          <w:sz w:val="24"/>
          <w:szCs w:val="24"/>
        </w:rPr>
        <w:t>modeled</w:t>
      </w:r>
      <w:proofErr w:type="gramEnd"/>
      <w:r w:rsidR="001608B3">
        <w:rPr>
          <w:sz w:val="24"/>
          <w:szCs w:val="24"/>
        </w:rPr>
        <w:t xml:space="preserve"> and a heterogeneous compound symmetry structure found to be the best fitting one based on the AICC information criterion; this accounts for different standard errors at each harvest. Early and total yield were analyzed as a simple RCB, treating Block as the sole random effect. The simulation approach implemented in the </w:t>
      </w:r>
      <w:proofErr w:type="spellStart"/>
      <w:r w:rsidR="001608B3">
        <w:rPr>
          <w:sz w:val="24"/>
          <w:szCs w:val="24"/>
        </w:rPr>
        <w:t>LSMeans</w:t>
      </w:r>
      <w:proofErr w:type="spellEnd"/>
      <w:r w:rsidR="001608B3">
        <w:rPr>
          <w:sz w:val="24"/>
          <w:szCs w:val="24"/>
        </w:rPr>
        <w:t xml:space="preserve"> command of the above</w:t>
      </w:r>
      <w:r w:rsidR="00E23BDA">
        <w:rPr>
          <w:sz w:val="24"/>
          <w:szCs w:val="24"/>
        </w:rPr>
        <w:t>-</w:t>
      </w:r>
      <w:r w:rsidR="001608B3">
        <w:rPr>
          <w:sz w:val="24"/>
          <w:szCs w:val="24"/>
        </w:rPr>
        <w:t xml:space="preserve">named SAS procedure was used to adjust the </w:t>
      </w:r>
      <w:r w:rsidR="001608B3" w:rsidRPr="00CD6127">
        <w:rPr>
          <w:i/>
          <w:sz w:val="24"/>
          <w:szCs w:val="24"/>
        </w:rPr>
        <w:t>P</w:t>
      </w:r>
      <w:r w:rsidR="001608B3">
        <w:rPr>
          <w:sz w:val="24"/>
          <w:szCs w:val="24"/>
        </w:rPr>
        <w:t>-values for multiple comparisons.</w:t>
      </w:r>
    </w:p>
    <w:p w14:paraId="4003C3AA" w14:textId="77777777" w:rsidR="00874B16" w:rsidRDefault="00874B16" w:rsidP="00F82A58">
      <w:pPr>
        <w:spacing w:line="480" w:lineRule="auto"/>
        <w:rPr>
          <w:b/>
          <w:sz w:val="24"/>
          <w:szCs w:val="24"/>
        </w:rPr>
      </w:pPr>
      <w:r w:rsidRPr="00092343">
        <w:rPr>
          <w:b/>
          <w:sz w:val="24"/>
          <w:szCs w:val="24"/>
        </w:rPr>
        <w:t>Results and Discussion</w:t>
      </w:r>
      <w:r w:rsidR="00092343">
        <w:rPr>
          <w:b/>
          <w:sz w:val="24"/>
          <w:szCs w:val="24"/>
        </w:rPr>
        <w:t xml:space="preserve"> </w:t>
      </w:r>
    </w:p>
    <w:p w14:paraId="6B7622CD" w14:textId="77777777" w:rsidR="003C77E7" w:rsidRDefault="003C77E7" w:rsidP="00F82A58">
      <w:pPr>
        <w:spacing w:line="480" w:lineRule="auto"/>
        <w:rPr>
          <w:rFonts w:ascii="Calibri" w:eastAsia="Calibri" w:hAnsi="Calibri" w:cs="Times New Roman"/>
          <w:sz w:val="24"/>
          <w:szCs w:val="24"/>
        </w:rPr>
      </w:pPr>
      <w:r>
        <w:rPr>
          <w:rFonts w:ascii="Calibri" w:eastAsia="Calibri" w:hAnsi="Calibri" w:cs="Times New Roman"/>
          <w:sz w:val="24"/>
          <w:szCs w:val="24"/>
        </w:rPr>
        <w:t>‘</w:t>
      </w:r>
      <w:r w:rsidRPr="003C77E7">
        <w:rPr>
          <w:rFonts w:ascii="Calibri" w:eastAsia="Calibri" w:hAnsi="Calibri" w:cs="Times New Roman"/>
          <w:sz w:val="24"/>
          <w:szCs w:val="24"/>
        </w:rPr>
        <w:t>Winterbor</w:t>
      </w:r>
      <w:r>
        <w:rPr>
          <w:rFonts w:ascii="Calibri" w:eastAsia="Calibri" w:hAnsi="Calibri" w:cs="Times New Roman"/>
          <w:sz w:val="24"/>
          <w:szCs w:val="24"/>
        </w:rPr>
        <w:t>’</w:t>
      </w:r>
      <w:r w:rsidRPr="003C77E7">
        <w:rPr>
          <w:rFonts w:ascii="Calibri" w:eastAsia="Calibri" w:hAnsi="Calibri" w:cs="Times New Roman"/>
          <w:sz w:val="24"/>
          <w:szCs w:val="24"/>
        </w:rPr>
        <w:t xml:space="preserve"> is the industry standard and performed very well in this trial for both early and total yield (Table 1). Similar total yields to </w:t>
      </w:r>
      <w:r>
        <w:rPr>
          <w:rFonts w:ascii="Calibri" w:eastAsia="Calibri" w:hAnsi="Calibri" w:cs="Times New Roman"/>
          <w:sz w:val="24"/>
          <w:szCs w:val="24"/>
        </w:rPr>
        <w:t>‘</w:t>
      </w:r>
      <w:r w:rsidRPr="003C77E7">
        <w:rPr>
          <w:rFonts w:ascii="Calibri" w:eastAsia="Calibri" w:hAnsi="Calibri" w:cs="Times New Roman"/>
          <w:sz w:val="24"/>
          <w:szCs w:val="24"/>
        </w:rPr>
        <w:t>Winterbor</w:t>
      </w:r>
      <w:r>
        <w:rPr>
          <w:rFonts w:ascii="Calibri" w:eastAsia="Calibri" w:hAnsi="Calibri" w:cs="Times New Roman"/>
          <w:sz w:val="24"/>
          <w:szCs w:val="24"/>
        </w:rPr>
        <w:t>’</w:t>
      </w:r>
      <w:r w:rsidRPr="003C77E7">
        <w:rPr>
          <w:rFonts w:ascii="Calibri" w:eastAsia="Calibri" w:hAnsi="Calibri" w:cs="Times New Roman"/>
          <w:sz w:val="24"/>
          <w:szCs w:val="24"/>
        </w:rPr>
        <w:t xml:space="preserve"> were found with </w:t>
      </w:r>
      <w:r>
        <w:rPr>
          <w:rFonts w:ascii="Calibri" w:eastAsia="Calibri" w:hAnsi="Calibri" w:cs="Times New Roman"/>
          <w:sz w:val="24"/>
          <w:szCs w:val="24"/>
        </w:rPr>
        <w:t>‘</w:t>
      </w:r>
      <w:r w:rsidRPr="003C77E7">
        <w:rPr>
          <w:rFonts w:ascii="Calibri" w:eastAsia="Calibri" w:hAnsi="Calibri" w:cs="Times New Roman"/>
          <w:sz w:val="24"/>
          <w:szCs w:val="24"/>
        </w:rPr>
        <w:t>Nero di Toscano</w:t>
      </w:r>
      <w:r>
        <w:rPr>
          <w:rFonts w:ascii="Calibri" w:eastAsia="Calibri" w:hAnsi="Calibri" w:cs="Times New Roman"/>
          <w:sz w:val="24"/>
          <w:szCs w:val="24"/>
        </w:rPr>
        <w:t>’</w:t>
      </w:r>
      <w:r w:rsidRPr="003C77E7">
        <w:rPr>
          <w:rFonts w:ascii="Calibri" w:eastAsia="Calibri" w:hAnsi="Calibri" w:cs="Times New Roman"/>
          <w:sz w:val="24"/>
          <w:szCs w:val="24"/>
        </w:rPr>
        <w:t xml:space="preserve"> and </w:t>
      </w:r>
      <w:r>
        <w:rPr>
          <w:rFonts w:ascii="Calibri" w:eastAsia="Calibri" w:hAnsi="Calibri" w:cs="Times New Roman"/>
          <w:sz w:val="24"/>
          <w:szCs w:val="24"/>
        </w:rPr>
        <w:t>‘</w:t>
      </w:r>
      <w:r w:rsidRPr="003C77E7">
        <w:rPr>
          <w:rFonts w:ascii="Calibri" w:eastAsia="Calibri" w:hAnsi="Calibri" w:cs="Times New Roman"/>
          <w:sz w:val="24"/>
          <w:szCs w:val="24"/>
        </w:rPr>
        <w:t>Red Russian</w:t>
      </w:r>
      <w:r>
        <w:rPr>
          <w:rFonts w:ascii="Calibri" w:eastAsia="Calibri" w:hAnsi="Calibri" w:cs="Times New Roman"/>
          <w:sz w:val="24"/>
          <w:szCs w:val="24"/>
        </w:rPr>
        <w:t>’</w:t>
      </w:r>
      <w:r w:rsidRPr="003C77E7">
        <w:rPr>
          <w:rFonts w:ascii="Calibri" w:eastAsia="Calibri" w:hAnsi="Calibri" w:cs="Times New Roman"/>
          <w:sz w:val="24"/>
          <w:szCs w:val="24"/>
        </w:rPr>
        <w:t xml:space="preserve">. </w:t>
      </w:r>
      <w:r>
        <w:rPr>
          <w:rFonts w:ascii="Calibri" w:eastAsia="Calibri" w:hAnsi="Calibri" w:cs="Times New Roman"/>
          <w:sz w:val="24"/>
          <w:szCs w:val="24"/>
        </w:rPr>
        <w:t>‘</w:t>
      </w:r>
      <w:r w:rsidRPr="003C77E7">
        <w:rPr>
          <w:rFonts w:ascii="Calibri" w:eastAsia="Calibri" w:hAnsi="Calibri" w:cs="Times New Roman"/>
          <w:sz w:val="24"/>
          <w:szCs w:val="24"/>
        </w:rPr>
        <w:t>Nero di Toscano</w:t>
      </w:r>
      <w:r>
        <w:rPr>
          <w:rFonts w:ascii="Calibri" w:eastAsia="Calibri" w:hAnsi="Calibri" w:cs="Times New Roman"/>
          <w:sz w:val="24"/>
          <w:szCs w:val="24"/>
        </w:rPr>
        <w:t>’</w:t>
      </w:r>
      <w:r w:rsidRPr="003C77E7">
        <w:rPr>
          <w:rFonts w:ascii="Calibri" w:eastAsia="Calibri" w:hAnsi="Calibri" w:cs="Times New Roman"/>
          <w:sz w:val="24"/>
          <w:szCs w:val="24"/>
        </w:rPr>
        <w:t xml:space="preserve"> has become a popular cultivar for juicing and making kale chips. </w:t>
      </w:r>
      <w:r w:rsidRPr="003C77E7">
        <w:rPr>
          <w:rFonts w:ascii="Calibri" w:eastAsia="Calibri" w:hAnsi="Calibri" w:cs="Times New Roman"/>
          <w:sz w:val="24"/>
          <w:szCs w:val="24"/>
        </w:rPr>
        <w:lastRenderedPageBreak/>
        <w:t xml:space="preserve">Similar early yields, in comparison to </w:t>
      </w:r>
      <w:r>
        <w:rPr>
          <w:rFonts w:ascii="Calibri" w:eastAsia="Calibri" w:hAnsi="Calibri" w:cs="Times New Roman"/>
          <w:sz w:val="24"/>
          <w:szCs w:val="24"/>
        </w:rPr>
        <w:t>‘</w:t>
      </w:r>
      <w:r w:rsidRPr="003C77E7">
        <w:rPr>
          <w:rFonts w:ascii="Calibri" w:eastAsia="Calibri" w:hAnsi="Calibri" w:cs="Times New Roman"/>
          <w:sz w:val="24"/>
          <w:szCs w:val="24"/>
        </w:rPr>
        <w:t>Winterbor</w:t>
      </w:r>
      <w:r>
        <w:rPr>
          <w:rFonts w:ascii="Calibri" w:eastAsia="Calibri" w:hAnsi="Calibri" w:cs="Times New Roman"/>
          <w:sz w:val="24"/>
          <w:szCs w:val="24"/>
        </w:rPr>
        <w:t>’</w:t>
      </w:r>
      <w:r w:rsidRPr="003C77E7">
        <w:rPr>
          <w:rFonts w:ascii="Calibri" w:eastAsia="Calibri" w:hAnsi="Calibri" w:cs="Times New Roman"/>
          <w:sz w:val="24"/>
          <w:szCs w:val="24"/>
        </w:rPr>
        <w:t xml:space="preserve"> were found with </w:t>
      </w:r>
      <w:r>
        <w:rPr>
          <w:rFonts w:ascii="Calibri" w:eastAsia="Calibri" w:hAnsi="Calibri" w:cs="Times New Roman"/>
          <w:sz w:val="24"/>
          <w:szCs w:val="24"/>
        </w:rPr>
        <w:t>‘</w:t>
      </w:r>
      <w:r w:rsidRPr="003C77E7">
        <w:rPr>
          <w:rFonts w:ascii="Calibri" w:eastAsia="Calibri" w:hAnsi="Calibri" w:cs="Times New Roman"/>
          <w:sz w:val="24"/>
          <w:szCs w:val="24"/>
        </w:rPr>
        <w:t>Improved Dwarf Siberian</w:t>
      </w:r>
      <w:r>
        <w:rPr>
          <w:rFonts w:ascii="Calibri" w:eastAsia="Calibri" w:hAnsi="Calibri" w:cs="Times New Roman"/>
          <w:sz w:val="24"/>
          <w:szCs w:val="24"/>
        </w:rPr>
        <w:t>’</w:t>
      </w:r>
      <w:r w:rsidRPr="003C77E7">
        <w:rPr>
          <w:rFonts w:ascii="Calibri" w:eastAsia="Calibri" w:hAnsi="Calibri" w:cs="Times New Roman"/>
          <w:sz w:val="24"/>
          <w:szCs w:val="24"/>
        </w:rPr>
        <w:t xml:space="preserve">, </w:t>
      </w:r>
      <w:r>
        <w:rPr>
          <w:rFonts w:ascii="Calibri" w:eastAsia="Calibri" w:hAnsi="Calibri" w:cs="Times New Roman"/>
          <w:sz w:val="24"/>
          <w:szCs w:val="24"/>
        </w:rPr>
        <w:t>‘</w:t>
      </w:r>
      <w:r w:rsidRPr="003C77E7">
        <w:rPr>
          <w:rFonts w:ascii="Calibri" w:eastAsia="Calibri" w:hAnsi="Calibri" w:cs="Times New Roman"/>
          <w:sz w:val="24"/>
          <w:szCs w:val="24"/>
        </w:rPr>
        <w:t>Red Russian</w:t>
      </w:r>
      <w:r>
        <w:rPr>
          <w:rFonts w:ascii="Calibri" w:eastAsia="Calibri" w:hAnsi="Calibri" w:cs="Times New Roman"/>
          <w:sz w:val="24"/>
          <w:szCs w:val="24"/>
        </w:rPr>
        <w:t>’</w:t>
      </w:r>
      <w:r w:rsidRPr="003C77E7">
        <w:rPr>
          <w:rFonts w:ascii="Calibri" w:eastAsia="Calibri" w:hAnsi="Calibri" w:cs="Times New Roman"/>
          <w:sz w:val="24"/>
          <w:szCs w:val="24"/>
        </w:rPr>
        <w:t xml:space="preserve">, and </w:t>
      </w:r>
      <w:r>
        <w:rPr>
          <w:rFonts w:ascii="Calibri" w:eastAsia="Calibri" w:hAnsi="Calibri" w:cs="Times New Roman"/>
          <w:sz w:val="24"/>
          <w:szCs w:val="24"/>
        </w:rPr>
        <w:t>‘</w:t>
      </w:r>
      <w:r w:rsidRPr="003C77E7">
        <w:rPr>
          <w:rFonts w:ascii="Calibri" w:eastAsia="Calibri" w:hAnsi="Calibri" w:cs="Times New Roman"/>
          <w:sz w:val="24"/>
          <w:szCs w:val="24"/>
        </w:rPr>
        <w:t>Tronchuda</w:t>
      </w:r>
      <w:r>
        <w:rPr>
          <w:rFonts w:ascii="Calibri" w:eastAsia="Calibri" w:hAnsi="Calibri" w:cs="Times New Roman"/>
          <w:sz w:val="24"/>
          <w:szCs w:val="24"/>
        </w:rPr>
        <w:t>’</w:t>
      </w:r>
      <w:r w:rsidRPr="003C77E7">
        <w:rPr>
          <w:rFonts w:ascii="Calibri" w:eastAsia="Calibri" w:hAnsi="Calibri" w:cs="Times New Roman"/>
          <w:sz w:val="24"/>
          <w:szCs w:val="24"/>
        </w:rPr>
        <w:t>.</w:t>
      </w:r>
    </w:p>
    <w:p w14:paraId="2E220EB5" w14:textId="33B60286" w:rsidR="003C77E7" w:rsidRDefault="003C77E7" w:rsidP="00F82A58">
      <w:pPr>
        <w:spacing w:line="480" w:lineRule="auto"/>
        <w:rPr>
          <w:rFonts w:ascii="Calibri" w:eastAsia="Calibri" w:hAnsi="Calibri" w:cs="Times New Roman"/>
          <w:sz w:val="24"/>
          <w:szCs w:val="24"/>
        </w:rPr>
      </w:pPr>
      <w:r>
        <w:rPr>
          <w:rFonts w:ascii="Calibri" w:eastAsia="Calibri" w:hAnsi="Calibri" w:cs="Times New Roman"/>
          <w:sz w:val="24"/>
          <w:szCs w:val="24"/>
        </w:rPr>
        <w:t>Kale is considered a cool season crop, but many markets demand as close to year</w:t>
      </w:r>
      <w:r w:rsidR="00FE7203">
        <w:rPr>
          <w:rFonts w:ascii="Calibri" w:eastAsia="Calibri" w:hAnsi="Calibri" w:cs="Times New Roman"/>
          <w:sz w:val="24"/>
          <w:szCs w:val="24"/>
        </w:rPr>
        <w:t>-</w:t>
      </w:r>
      <w:r>
        <w:rPr>
          <w:rFonts w:ascii="Calibri" w:eastAsia="Calibri" w:hAnsi="Calibri" w:cs="Times New Roman"/>
          <w:sz w:val="24"/>
          <w:szCs w:val="24"/>
        </w:rPr>
        <w:t>round pro</w:t>
      </w:r>
      <w:r w:rsidR="00FE7203">
        <w:rPr>
          <w:rFonts w:ascii="Calibri" w:eastAsia="Calibri" w:hAnsi="Calibri" w:cs="Times New Roman"/>
          <w:sz w:val="24"/>
          <w:szCs w:val="24"/>
        </w:rPr>
        <w:t>duction as possible. This trial, conducted under an open shade structure, showed several cultivars continued high production well into the mid-summer season in Florida. ‘Winterbor’, ‘Red Russian’, and ‘Nero di Toscano’ all had similar high yield on the July 10 harvest date</w:t>
      </w:r>
      <w:r w:rsidR="0010600E">
        <w:rPr>
          <w:rFonts w:ascii="Calibri" w:eastAsia="Calibri" w:hAnsi="Calibri" w:cs="Times New Roman"/>
          <w:sz w:val="24"/>
          <w:szCs w:val="24"/>
        </w:rPr>
        <w:t xml:space="preserve"> (</w:t>
      </w:r>
      <w:r w:rsidR="00563311">
        <w:rPr>
          <w:rFonts w:ascii="Calibri" w:eastAsia="Calibri" w:hAnsi="Calibri" w:cs="Times New Roman"/>
          <w:sz w:val="24"/>
          <w:szCs w:val="24"/>
        </w:rPr>
        <w:t>F</w:t>
      </w:r>
      <w:r w:rsidR="0010600E">
        <w:rPr>
          <w:rFonts w:ascii="Calibri" w:eastAsia="Calibri" w:hAnsi="Calibri" w:cs="Times New Roman"/>
          <w:sz w:val="24"/>
          <w:szCs w:val="24"/>
        </w:rPr>
        <w:t>igure 3)</w:t>
      </w:r>
      <w:r w:rsidR="00FE7203">
        <w:rPr>
          <w:rFonts w:ascii="Calibri" w:eastAsia="Calibri" w:hAnsi="Calibri" w:cs="Times New Roman"/>
          <w:sz w:val="24"/>
          <w:szCs w:val="24"/>
        </w:rPr>
        <w:t>.</w:t>
      </w:r>
    </w:p>
    <w:p w14:paraId="6B9AEF85" w14:textId="688BAE5C" w:rsidR="00DE39BB" w:rsidRDefault="00DE39BB" w:rsidP="00DE39BB">
      <w:pPr>
        <w:spacing w:line="240" w:lineRule="auto"/>
        <w:rPr>
          <w:rFonts w:ascii="Calibri" w:eastAsia="Calibri" w:hAnsi="Calibri" w:cs="Times New Roman"/>
          <w:sz w:val="24"/>
          <w:szCs w:val="24"/>
        </w:rPr>
      </w:pPr>
      <w:r w:rsidRPr="00DE39BB">
        <w:rPr>
          <w:rFonts w:ascii="Calibri" w:eastAsia="Calibri" w:hAnsi="Calibri" w:cs="Times New Roman"/>
          <w:sz w:val="24"/>
          <w:szCs w:val="24"/>
        </w:rPr>
        <w:t>Table 1.  Early and total yield of eight kale cultivars grown in soilless culture under an open shade structure in Live Oak, FL</w:t>
      </w:r>
      <w:r>
        <w:rPr>
          <w:rFonts w:ascii="Calibri" w:eastAsia="Calibri" w:hAnsi="Calibri" w:cs="Times New Roman"/>
          <w:sz w:val="24"/>
          <w:szCs w:val="24"/>
        </w:rPr>
        <w:t xml:space="preserve">.  </w:t>
      </w:r>
      <w:r w:rsidRPr="00DE39BB">
        <w:rPr>
          <w:rFonts w:ascii="Calibri" w:eastAsia="Calibri" w:hAnsi="Calibri" w:cs="Times New Roman"/>
          <w:sz w:val="24"/>
          <w:szCs w:val="24"/>
        </w:rPr>
        <w:t>Yield by harvest date (lbs/plot)</w:t>
      </w:r>
    </w:p>
    <w:tbl>
      <w:tblPr>
        <w:tblW w:w="10145" w:type="dxa"/>
        <w:tblLook w:val="04A0" w:firstRow="1" w:lastRow="0" w:firstColumn="1" w:lastColumn="0" w:noHBand="0" w:noVBand="1"/>
      </w:tblPr>
      <w:tblGrid>
        <w:gridCol w:w="2070"/>
        <w:gridCol w:w="1439"/>
        <w:gridCol w:w="787"/>
        <w:gridCol w:w="787"/>
        <w:gridCol w:w="787"/>
        <w:gridCol w:w="787"/>
        <w:gridCol w:w="787"/>
        <w:gridCol w:w="787"/>
        <w:gridCol w:w="948"/>
        <w:gridCol w:w="966"/>
      </w:tblGrid>
      <w:tr w:rsidR="00DE39BB" w:rsidRPr="00DE39BB" w14:paraId="4B0B817B" w14:textId="77777777" w:rsidTr="00DE39BB">
        <w:trPr>
          <w:trHeight w:val="316"/>
        </w:trPr>
        <w:tc>
          <w:tcPr>
            <w:tcW w:w="2070" w:type="dxa"/>
            <w:tcBorders>
              <w:top w:val="single" w:sz="4" w:space="0" w:color="auto"/>
              <w:left w:val="nil"/>
              <w:bottom w:val="single" w:sz="4" w:space="0" w:color="auto"/>
              <w:right w:val="nil"/>
            </w:tcBorders>
            <w:shd w:val="clear" w:color="auto" w:fill="auto"/>
            <w:noWrap/>
            <w:vAlign w:val="bottom"/>
            <w:hideMark/>
          </w:tcPr>
          <w:p w14:paraId="31E3C33E"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Cultivar</w:t>
            </w:r>
          </w:p>
        </w:tc>
        <w:tc>
          <w:tcPr>
            <w:tcW w:w="1439" w:type="dxa"/>
            <w:tcBorders>
              <w:top w:val="single" w:sz="4" w:space="0" w:color="auto"/>
              <w:left w:val="nil"/>
              <w:bottom w:val="single" w:sz="4" w:space="0" w:color="auto"/>
              <w:right w:val="nil"/>
            </w:tcBorders>
            <w:shd w:val="clear" w:color="auto" w:fill="auto"/>
            <w:noWrap/>
            <w:vAlign w:val="bottom"/>
            <w:hideMark/>
          </w:tcPr>
          <w:p w14:paraId="09C5FA2B"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Description</w:t>
            </w:r>
          </w:p>
        </w:tc>
        <w:tc>
          <w:tcPr>
            <w:tcW w:w="787" w:type="dxa"/>
            <w:tcBorders>
              <w:top w:val="single" w:sz="4" w:space="0" w:color="auto"/>
              <w:left w:val="nil"/>
              <w:bottom w:val="single" w:sz="4" w:space="0" w:color="auto"/>
              <w:right w:val="nil"/>
            </w:tcBorders>
            <w:shd w:val="clear" w:color="auto" w:fill="auto"/>
            <w:noWrap/>
            <w:vAlign w:val="bottom"/>
            <w:hideMark/>
          </w:tcPr>
          <w:p w14:paraId="0B1AF288"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16-Apr</w:t>
            </w:r>
          </w:p>
        </w:tc>
        <w:tc>
          <w:tcPr>
            <w:tcW w:w="787" w:type="dxa"/>
            <w:tcBorders>
              <w:top w:val="single" w:sz="4" w:space="0" w:color="auto"/>
              <w:left w:val="nil"/>
              <w:bottom w:val="single" w:sz="4" w:space="0" w:color="auto"/>
              <w:right w:val="nil"/>
            </w:tcBorders>
            <w:shd w:val="clear" w:color="auto" w:fill="auto"/>
            <w:noWrap/>
            <w:vAlign w:val="bottom"/>
            <w:hideMark/>
          </w:tcPr>
          <w:p w14:paraId="23D6F3A5"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8-May</w:t>
            </w:r>
          </w:p>
        </w:tc>
        <w:tc>
          <w:tcPr>
            <w:tcW w:w="787" w:type="dxa"/>
            <w:tcBorders>
              <w:top w:val="single" w:sz="4" w:space="0" w:color="auto"/>
              <w:left w:val="nil"/>
              <w:bottom w:val="single" w:sz="4" w:space="0" w:color="auto"/>
              <w:right w:val="nil"/>
            </w:tcBorders>
            <w:shd w:val="clear" w:color="auto" w:fill="auto"/>
            <w:noWrap/>
            <w:vAlign w:val="bottom"/>
            <w:hideMark/>
          </w:tcPr>
          <w:p w14:paraId="084DC92D"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22-May</w:t>
            </w:r>
          </w:p>
        </w:tc>
        <w:tc>
          <w:tcPr>
            <w:tcW w:w="787" w:type="dxa"/>
            <w:tcBorders>
              <w:top w:val="single" w:sz="4" w:space="0" w:color="auto"/>
              <w:left w:val="nil"/>
              <w:bottom w:val="single" w:sz="4" w:space="0" w:color="auto"/>
              <w:right w:val="nil"/>
            </w:tcBorders>
            <w:shd w:val="clear" w:color="auto" w:fill="auto"/>
            <w:noWrap/>
            <w:vAlign w:val="bottom"/>
            <w:hideMark/>
          </w:tcPr>
          <w:p w14:paraId="2B2B7AB9"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4-Jun</w:t>
            </w:r>
          </w:p>
        </w:tc>
        <w:tc>
          <w:tcPr>
            <w:tcW w:w="787" w:type="dxa"/>
            <w:tcBorders>
              <w:top w:val="single" w:sz="4" w:space="0" w:color="auto"/>
              <w:left w:val="nil"/>
              <w:bottom w:val="single" w:sz="4" w:space="0" w:color="auto"/>
              <w:right w:val="nil"/>
            </w:tcBorders>
            <w:shd w:val="clear" w:color="auto" w:fill="auto"/>
            <w:noWrap/>
            <w:vAlign w:val="bottom"/>
            <w:hideMark/>
          </w:tcPr>
          <w:p w14:paraId="3E0FC79A"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19-Jun</w:t>
            </w:r>
          </w:p>
        </w:tc>
        <w:tc>
          <w:tcPr>
            <w:tcW w:w="787" w:type="dxa"/>
            <w:tcBorders>
              <w:top w:val="single" w:sz="4" w:space="0" w:color="auto"/>
              <w:left w:val="nil"/>
              <w:bottom w:val="single" w:sz="4" w:space="0" w:color="auto"/>
              <w:right w:val="nil"/>
            </w:tcBorders>
            <w:shd w:val="clear" w:color="auto" w:fill="auto"/>
            <w:noWrap/>
            <w:vAlign w:val="bottom"/>
            <w:hideMark/>
          </w:tcPr>
          <w:p w14:paraId="7E6921DA"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10-Jul</w:t>
            </w:r>
          </w:p>
        </w:tc>
        <w:tc>
          <w:tcPr>
            <w:tcW w:w="948" w:type="dxa"/>
            <w:tcBorders>
              <w:top w:val="single" w:sz="4" w:space="0" w:color="auto"/>
              <w:left w:val="nil"/>
              <w:bottom w:val="single" w:sz="4" w:space="0" w:color="auto"/>
              <w:right w:val="nil"/>
            </w:tcBorders>
            <w:shd w:val="clear" w:color="auto" w:fill="auto"/>
            <w:noWrap/>
            <w:vAlign w:val="bottom"/>
            <w:hideMark/>
          </w:tcPr>
          <w:p w14:paraId="2244B044"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Early </w:t>
            </w:r>
            <w:proofErr w:type="spellStart"/>
            <w:r w:rsidRPr="00DE39BB">
              <w:rPr>
                <w:rFonts w:ascii="Calibri" w:eastAsia="Times New Roman" w:hAnsi="Calibri" w:cs="Calibri"/>
                <w:color w:val="000000"/>
                <w:sz w:val="16"/>
                <w:szCs w:val="16"/>
              </w:rPr>
              <w:t>yield</w:t>
            </w:r>
            <w:r w:rsidRPr="00DE39BB">
              <w:rPr>
                <w:rFonts w:ascii="Calibri" w:eastAsia="Times New Roman" w:hAnsi="Calibri" w:cs="Calibri"/>
                <w:color w:val="000000"/>
                <w:sz w:val="16"/>
                <w:szCs w:val="16"/>
                <w:vertAlign w:val="superscript"/>
              </w:rPr>
              <w:t>z</w:t>
            </w:r>
            <w:proofErr w:type="spellEnd"/>
          </w:p>
        </w:tc>
        <w:tc>
          <w:tcPr>
            <w:tcW w:w="966" w:type="dxa"/>
            <w:tcBorders>
              <w:top w:val="single" w:sz="4" w:space="0" w:color="auto"/>
              <w:left w:val="nil"/>
              <w:bottom w:val="single" w:sz="4" w:space="0" w:color="auto"/>
              <w:right w:val="nil"/>
            </w:tcBorders>
            <w:shd w:val="clear" w:color="auto" w:fill="auto"/>
            <w:noWrap/>
            <w:vAlign w:val="bottom"/>
            <w:hideMark/>
          </w:tcPr>
          <w:p w14:paraId="402AF526"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Total </w:t>
            </w:r>
            <w:proofErr w:type="spellStart"/>
            <w:r w:rsidRPr="00DE39BB">
              <w:rPr>
                <w:rFonts w:ascii="Calibri" w:eastAsia="Times New Roman" w:hAnsi="Calibri" w:cs="Calibri"/>
                <w:color w:val="000000"/>
                <w:sz w:val="16"/>
                <w:szCs w:val="16"/>
              </w:rPr>
              <w:t>yield</w:t>
            </w:r>
            <w:r w:rsidRPr="00DE39BB">
              <w:rPr>
                <w:rFonts w:ascii="Calibri" w:eastAsia="Times New Roman" w:hAnsi="Calibri" w:cs="Calibri"/>
                <w:color w:val="000000"/>
                <w:sz w:val="16"/>
                <w:szCs w:val="16"/>
                <w:vertAlign w:val="superscript"/>
              </w:rPr>
              <w:t>y</w:t>
            </w:r>
            <w:proofErr w:type="spellEnd"/>
          </w:p>
        </w:tc>
      </w:tr>
      <w:tr w:rsidR="00DE39BB" w:rsidRPr="00DE39BB" w14:paraId="769081EC"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13731AE3"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Blue Curled Scotch</w:t>
            </w:r>
          </w:p>
        </w:tc>
        <w:tc>
          <w:tcPr>
            <w:tcW w:w="1439" w:type="dxa"/>
            <w:tcBorders>
              <w:top w:val="nil"/>
              <w:left w:val="nil"/>
              <w:bottom w:val="single" w:sz="4" w:space="0" w:color="auto"/>
              <w:right w:val="nil"/>
            </w:tcBorders>
            <w:shd w:val="clear" w:color="auto" w:fill="auto"/>
            <w:vAlign w:val="bottom"/>
            <w:hideMark/>
          </w:tcPr>
          <w:p w14:paraId="41DB29B7"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curled</w:t>
            </w:r>
            <w:r w:rsidRPr="00DE39BB">
              <w:rPr>
                <w:rFonts w:ascii="Calibri" w:eastAsia="Times New Roman" w:hAnsi="Calibri" w:cs="Calibri"/>
                <w:color w:val="000000"/>
                <w:sz w:val="16"/>
                <w:szCs w:val="16"/>
              </w:rPr>
              <w:br/>
            </w:r>
            <w:proofErr w:type="gramStart"/>
            <w:r w:rsidRPr="00DE39BB">
              <w:rPr>
                <w:rFonts w:ascii="Calibri" w:eastAsia="Times New Roman" w:hAnsi="Calibri" w:cs="Calibri"/>
                <w:color w:val="000000"/>
                <w:sz w:val="16"/>
                <w:szCs w:val="16"/>
              </w:rPr>
              <w:t>blue-green</w:t>
            </w:r>
            <w:proofErr w:type="gramEnd"/>
          </w:p>
        </w:tc>
        <w:tc>
          <w:tcPr>
            <w:tcW w:w="787" w:type="dxa"/>
            <w:tcBorders>
              <w:top w:val="nil"/>
              <w:left w:val="nil"/>
              <w:bottom w:val="single" w:sz="4" w:space="0" w:color="auto"/>
              <w:right w:val="nil"/>
            </w:tcBorders>
            <w:shd w:val="clear" w:color="auto" w:fill="auto"/>
            <w:noWrap/>
            <w:vAlign w:val="bottom"/>
            <w:hideMark/>
          </w:tcPr>
          <w:p w14:paraId="0FDC349D"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1.8 </w:t>
            </w:r>
            <w:proofErr w:type="spellStart"/>
            <w:r w:rsidRPr="00DE39BB">
              <w:rPr>
                <w:rFonts w:ascii="Calibri" w:eastAsia="Times New Roman" w:hAnsi="Calibri" w:cs="Calibri"/>
                <w:color w:val="000000"/>
                <w:sz w:val="16"/>
                <w:szCs w:val="16"/>
              </w:rPr>
              <w:t>bc</w:t>
            </w:r>
            <w:proofErr w:type="spellEnd"/>
          </w:p>
        </w:tc>
        <w:tc>
          <w:tcPr>
            <w:tcW w:w="787" w:type="dxa"/>
            <w:tcBorders>
              <w:top w:val="nil"/>
              <w:left w:val="nil"/>
              <w:bottom w:val="single" w:sz="4" w:space="0" w:color="auto"/>
              <w:right w:val="nil"/>
            </w:tcBorders>
            <w:shd w:val="clear" w:color="auto" w:fill="auto"/>
            <w:noWrap/>
            <w:vAlign w:val="bottom"/>
            <w:hideMark/>
          </w:tcPr>
          <w:p w14:paraId="0DDB2A6E"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2.9 cd</w:t>
            </w:r>
          </w:p>
        </w:tc>
        <w:tc>
          <w:tcPr>
            <w:tcW w:w="787" w:type="dxa"/>
            <w:tcBorders>
              <w:top w:val="nil"/>
              <w:left w:val="nil"/>
              <w:bottom w:val="single" w:sz="4" w:space="0" w:color="auto"/>
              <w:right w:val="nil"/>
            </w:tcBorders>
            <w:shd w:val="clear" w:color="auto" w:fill="auto"/>
            <w:noWrap/>
            <w:vAlign w:val="bottom"/>
            <w:hideMark/>
          </w:tcPr>
          <w:p w14:paraId="2BF764B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2.0 b</w:t>
            </w:r>
          </w:p>
        </w:tc>
        <w:tc>
          <w:tcPr>
            <w:tcW w:w="787" w:type="dxa"/>
            <w:tcBorders>
              <w:top w:val="nil"/>
              <w:left w:val="nil"/>
              <w:bottom w:val="single" w:sz="4" w:space="0" w:color="auto"/>
              <w:right w:val="nil"/>
            </w:tcBorders>
            <w:shd w:val="clear" w:color="auto" w:fill="auto"/>
            <w:noWrap/>
            <w:vAlign w:val="bottom"/>
            <w:hideMark/>
          </w:tcPr>
          <w:p w14:paraId="4CDEFD58"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1.9 </w:t>
            </w:r>
            <w:proofErr w:type="spellStart"/>
            <w:r w:rsidRPr="00DE39BB">
              <w:rPr>
                <w:rFonts w:ascii="Calibri" w:eastAsia="Times New Roman" w:hAnsi="Calibri" w:cs="Calibri"/>
                <w:color w:val="000000"/>
                <w:sz w:val="16"/>
                <w:szCs w:val="16"/>
              </w:rPr>
              <w:t>bcd</w:t>
            </w:r>
            <w:proofErr w:type="spellEnd"/>
          </w:p>
        </w:tc>
        <w:tc>
          <w:tcPr>
            <w:tcW w:w="787" w:type="dxa"/>
            <w:tcBorders>
              <w:top w:val="nil"/>
              <w:left w:val="nil"/>
              <w:bottom w:val="single" w:sz="4" w:space="0" w:color="auto"/>
              <w:right w:val="nil"/>
            </w:tcBorders>
            <w:shd w:val="clear" w:color="auto" w:fill="auto"/>
            <w:noWrap/>
            <w:vAlign w:val="bottom"/>
            <w:hideMark/>
          </w:tcPr>
          <w:p w14:paraId="21A9FC67"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1.9 ab</w:t>
            </w:r>
          </w:p>
        </w:tc>
        <w:tc>
          <w:tcPr>
            <w:tcW w:w="787" w:type="dxa"/>
            <w:tcBorders>
              <w:top w:val="nil"/>
              <w:left w:val="nil"/>
              <w:bottom w:val="single" w:sz="4" w:space="0" w:color="auto"/>
              <w:right w:val="nil"/>
            </w:tcBorders>
            <w:shd w:val="clear" w:color="auto" w:fill="auto"/>
            <w:noWrap/>
            <w:vAlign w:val="bottom"/>
            <w:hideMark/>
          </w:tcPr>
          <w:p w14:paraId="1144B052"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2.1 </w:t>
            </w:r>
            <w:proofErr w:type="spellStart"/>
            <w:r w:rsidRPr="00DE39BB">
              <w:rPr>
                <w:rFonts w:ascii="Calibri" w:eastAsia="Times New Roman" w:hAnsi="Calibri" w:cs="Calibri"/>
                <w:color w:val="000000"/>
                <w:sz w:val="16"/>
                <w:szCs w:val="16"/>
              </w:rPr>
              <w:t>bc</w:t>
            </w:r>
            <w:proofErr w:type="spellEnd"/>
          </w:p>
        </w:tc>
        <w:tc>
          <w:tcPr>
            <w:tcW w:w="948" w:type="dxa"/>
            <w:tcBorders>
              <w:top w:val="nil"/>
              <w:left w:val="nil"/>
              <w:bottom w:val="single" w:sz="4" w:space="0" w:color="auto"/>
              <w:right w:val="nil"/>
            </w:tcBorders>
            <w:shd w:val="clear" w:color="auto" w:fill="auto"/>
            <w:noWrap/>
            <w:vAlign w:val="bottom"/>
            <w:hideMark/>
          </w:tcPr>
          <w:p w14:paraId="132CF669"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4.7 </w:t>
            </w:r>
            <w:proofErr w:type="spellStart"/>
            <w:r w:rsidRPr="00DE39BB">
              <w:rPr>
                <w:rFonts w:ascii="Calibri" w:eastAsia="Times New Roman" w:hAnsi="Calibri" w:cs="Calibri"/>
                <w:color w:val="000000"/>
                <w:sz w:val="16"/>
                <w:szCs w:val="16"/>
              </w:rPr>
              <w:t>bc</w:t>
            </w:r>
            <w:proofErr w:type="spellEnd"/>
          </w:p>
        </w:tc>
        <w:tc>
          <w:tcPr>
            <w:tcW w:w="966" w:type="dxa"/>
            <w:tcBorders>
              <w:top w:val="nil"/>
              <w:left w:val="nil"/>
              <w:bottom w:val="single" w:sz="4" w:space="0" w:color="auto"/>
              <w:right w:val="nil"/>
            </w:tcBorders>
            <w:shd w:val="clear" w:color="auto" w:fill="auto"/>
            <w:noWrap/>
            <w:vAlign w:val="bottom"/>
            <w:hideMark/>
          </w:tcPr>
          <w:p w14:paraId="3EF5CB99"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12.6 b</w:t>
            </w:r>
          </w:p>
        </w:tc>
      </w:tr>
      <w:tr w:rsidR="00DE39BB" w:rsidRPr="00DE39BB" w14:paraId="56D31D43"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20D536AB"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Improved Dwarf Siberian</w:t>
            </w:r>
          </w:p>
        </w:tc>
        <w:tc>
          <w:tcPr>
            <w:tcW w:w="1439" w:type="dxa"/>
            <w:tcBorders>
              <w:top w:val="nil"/>
              <w:left w:val="nil"/>
              <w:bottom w:val="single" w:sz="4" w:space="0" w:color="auto"/>
              <w:right w:val="nil"/>
            </w:tcBorders>
            <w:shd w:val="clear" w:color="auto" w:fill="auto"/>
            <w:vAlign w:val="bottom"/>
            <w:hideMark/>
          </w:tcPr>
          <w:p w14:paraId="2E9F0262"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curled leaf</w:t>
            </w:r>
            <w:r w:rsidRPr="00DE39BB">
              <w:rPr>
                <w:rFonts w:ascii="Calibri" w:eastAsia="Times New Roman" w:hAnsi="Calibri" w:cs="Calibri"/>
                <w:color w:val="000000"/>
                <w:sz w:val="16"/>
                <w:szCs w:val="16"/>
              </w:rPr>
              <w:br/>
              <w:t xml:space="preserve"> dk green </w:t>
            </w:r>
          </w:p>
        </w:tc>
        <w:tc>
          <w:tcPr>
            <w:tcW w:w="787" w:type="dxa"/>
            <w:tcBorders>
              <w:top w:val="nil"/>
              <w:left w:val="nil"/>
              <w:bottom w:val="single" w:sz="4" w:space="0" w:color="auto"/>
              <w:right w:val="nil"/>
            </w:tcBorders>
            <w:shd w:val="clear" w:color="auto" w:fill="auto"/>
            <w:noWrap/>
            <w:vAlign w:val="bottom"/>
            <w:hideMark/>
          </w:tcPr>
          <w:p w14:paraId="252B2F49"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2.5 a</w:t>
            </w:r>
          </w:p>
        </w:tc>
        <w:tc>
          <w:tcPr>
            <w:tcW w:w="787" w:type="dxa"/>
            <w:tcBorders>
              <w:top w:val="nil"/>
              <w:left w:val="nil"/>
              <w:bottom w:val="single" w:sz="4" w:space="0" w:color="auto"/>
              <w:right w:val="nil"/>
            </w:tcBorders>
            <w:shd w:val="clear" w:color="auto" w:fill="auto"/>
            <w:noWrap/>
            <w:vAlign w:val="bottom"/>
            <w:hideMark/>
          </w:tcPr>
          <w:p w14:paraId="04C1DA84"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3.8 </w:t>
            </w:r>
            <w:proofErr w:type="spellStart"/>
            <w:r w:rsidRPr="00DE39BB">
              <w:rPr>
                <w:rFonts w:ascii="Calibri" w:eastAsia="Times New Roman" w:hAnsi="Calibri" w:cs="Calibri"/>
                <w:color w:val="000000"/>
                <w:sz w:val="16"/>
                <w:szCs w:val="16"/>
              </w:rPr>
              <w:t>abc</w:t>
            </w:r>
            <w:proofErr w:type="spellEnd"/>
          </w:p>
        </w:tc>
        <w:tc>
          <w:tcPr>
            <w:tcW w:w="787" w:type="dxa"/>
            <w:tcBorders>
              <w:top w:val="nil"/>
              <w:left w:val="nil"/>
              <w:bottom w:val="single" w:sz="4" w:space="0" w:color="auto"/>
              <w:right w:val="nil"/>
            </w:tcBorders>
            <w:shd w:val="clear" w:color="auto" w:fill="auto"/>
            <w:noWrap/>
            <w:vAlign w:val="bottom"/>
            <w:hideMark/>
          </w:tcPr>
          <w:p w14:paraId="1BE8A90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2.2 b</w:t>
            </w:r>
          </w:p>
        </w:tc>
        <w:tc>
          <w:tcPr>
            <w:tcW w:w="787" w:type="dxa"/>
            <w:tcBorders>
              <w:top w:val="nil"/>
              <w:left w:val="nil"/>
              <w:bottom w:val="single" w:sz="4" w:space="0" w:color="auto"/>
              <w:right w:val="nil"/>
            </w:tcBorders>
            <w:shd w:val="clear" w:color="auto" w:fill="auto"/>
            <w:noWrap/>
            <w:vAlign w:val="bottom"/>
            <w:hideMark/>
          </w:tcPr>
          <w:p w14:paraId="47A88E4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1.8 </w:t>
            </w:r>
            <w:proofErr w:type="spellStart"/>
            <w:r w:rsidRPr="00DE39BB">
              <w:rPr>
                <w:rFonts w:ascii="Calibri" w:eastAsia="Times New Roman" w:hAnsi="Calibri" w:cs="Calibri"/>
                <w:color w:val="000000"/>
                <w:sz w:val="16"/>
                <w:szCs w:val="16"/>
              </w:rPr>
              <w:t>bcd</w:t>
            </w:r>
            <w:proofErr w:type="spellEnd"/>
          </w:p>
        </w:tc>
        <w:tc>
          <w:tcPr>
            <w:tcW w:w="787" w:type="dxa"/>
            <w:tcBorders>
              <w:top w:val="nil"/>
              <w:left w:val="nil"/>
              <w:bottom w:val="single" w:sz="4" w:space="0" w:color="auto"/>
              <w:right w:val="nil"/>
            </w:tcBorders>
            <w:shd w:val="clear" w:color="auto" w:fill="auto"/>
            <w:noWrap/>
            <w:vAlign w:val="bottom"/>
            <w:hideMark/>
          </w:tcPr>
          <w:p w14:paraId="286686B2"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1.7 b</w:t>
            </w:r>
          </w:p>
        </w:tc>
        <w:tc>
          <w:tcPr>
            <w:tcW w:w="787" w:type="dxa"/>
            <w:tcBorders>
              <w:top w:val="nil"/>
              <w:left w:val="nil"/>
              <w:bottom w:val="single" w:sz="4" w:space="0" w:color="auto"/>
              <w:right w:val="nil"/>
            </w:tcBorders>
            <w:shd w:val="clear" w:color="auto" w:fill="auto"/>
            <w:noWrap/>
            <w:vAlign w:val="bottom"/>
            <w:hideMark/>
          </w:tcPr>
          <w:p w14:paraId="004A12CA"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0.6 c</w:t>
            </w:r>
          </w:p>
        </w:tc>
        <w:tc>
          <w:tcPr>
            <w:tcW w:w="948" w:type="dxa"/>
            <w:tcBorders>
              <w:top w:val="nil"/>
              <w:left w:val="nil"/>
              <w:bottom w:val="single" w:sz="4" w:space="0" w:color="auto"/>
              <w:right w:val="nil"/>
            </w:tcBorders>
            <w:shd w:val="clear" w:color="auto" w:fill="auto"/>
            <w:noWrap/>
            <w:vAlign w:val="bottom"/>
            <w:hideMark/>
          </w:tcPr>
          <w:p w14:paraId="34BF84BC"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6.3 ab</w:t>
            </w:r>
          </w:p>
        </w:tc>
        <w:tc>
          <w:tcPr>
            <w:tcW w:w="966" w:type="dxa"/>
            <w:tcBorders>
              <w:top w:val="nil"/>
              <w:left w:val="nil"/>
              <w:bottom w:val="single" w:sz="4" w:space="0" w:color="auto"/>
              <w:right w:val="nil"/>
            </w:tcBorders>
            <w:shd w:val="clear" w:color="auto" w:fill="auto"/>
            <w:noWrap/>
            <w:vAlign w:val="bottom"/>
            <w:hideMark/>
          </w:tcPr>
          <w:p w14:paraId="3253E05D"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12.6 b</w:t>
            </w:r>
          </w:p>
        </w:tc>
      </w:tr>
      <w:tr w:rsidR="00DE39BB" w:rsidRPr="00DE39BB" w14:paraId="6416E76F"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7C166622"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Maribor</w:t>
            </w:r>
          </w:p>
        </w:tc>
        <w:tc>
          <w:tcPr>
            <w:tcW w:w="1439" w:type="dxa"/>
            <w:tcBorders>
              <w:top w:val="nil"/>
              <w:left w:val="nil"/>
              <w:bottom w:val="single" w:sz="4" w:space="0" w:color="auto"/>
              <w:right w:val="nil"/>
            </w:tcBorders>
            <w:shd w:val="clear" w:color="auto" w:fill="auto"/>
            <w:vAlign w:val="bottom"/>
            <w:hideMark/>
          </w:tcPr>
          <w:p w14:paraId="02591B8B"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curled leaf- dk </w:t>
            </w:r>
            <w:proofErr w:type="gramStart"/>
            <w:r w:rsidRPr="00DE39BB">
              <w:rPr>
                <w:rFonts w:ascii="Calibri" w:eastAsia="Times New Roman" w:hAnsi="Calibri" w:cs="Calibri"/>
                <w:color w:val="000000"/>
                <w:sz w:val="16"/>
                <w:szCs w:val="16"/>
              </w:rPr>
              <w:t>green pink</w:t>
            </w:r>
            <w:proofErr w:type="gramEnd"/>
            <w:r w:rsidRPr="00DE39BB">
              <w:rPr>
                <w:rFonts w:ascii="Calibri" w:eastAsia="Times New Roman" w:hAnsi="Calibri" w:cs="Calibri"/>
                <w:color w:val="000000"/>
                <w:sz w:val="16"/>
                <w:szCs w:val="16"/>
              </w:rPr>
              <w:t xml:space="preserve"> ctr</w:t>
            </w:r>
          </w:p>
        </w:tc>
        <w:tc>
          <w:tcPr>
            <w:tcW w:w="787" w:type="dxa"/>
            <w:tcBorders>
              <w:top w:val="nil"/>
              <w:left w:val="nil"/>
              <w:bottom w:val="single" w:sz="4" w:space="0" w:color="auto"/>
              <w:right w:val="nil"/>
            </w:tcBorders>
            <w:shd w:val="clear" w:color="auto" w:fill="auto"/>
            <w:noWrap/>
            <w:vAlign w:val="bottom"/>
            <w:hideMark/>
          </w:tcPr>
          <w:p w14:paraId="2F825A45"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1.7 </w:t>
            </w:r>
            <w:proofErr w:type="spellStart"/>
            <w:r w:rsidRPr="00DE39BB">
              <w:rPr>
                <w:rFonts w:ascii="Calibri" w:eastAsia="Times New Roman" w:hAnsi="Calibri" w:cs="Calibri"/>
                <w:color w:val="000000"/>
                <w:sz w:val="16"/>
                <w:szCs w:val="16"/>
              </w:rPr>
              <w:t>bc</w:t>
            </w:r>
            <w:proofErr w:type="spellEnd"/>
          </w:p>
        </w:tc>
        <w:tc>
          <w:tcPr>
            <w:tcW w:w="787" w:type="dxa"/>
            <w:tcBorders>
              <w:top w:val="nil"/>
              <w:left w:val="nil"/>
              <w:bottom w:val="single" w:sz="4" w:space="0" w:color="auto"/>
              <w:right w:val="nil"/>
            </w:tcBorders>
            <w:shd w:val="clear" w:color="auto" w:fill="auto"/>
            <w:noWrap/>
            <w:vAlign w:val="bottom"/>
            <w:hideMark/>
          </w:tcPr>
          <w:p w14:paraId="36CDDA71"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2.4 d</w:t>
            </w:r>
          </w:p>
        </w:tc>
        <w:tc>
          <w:tcPr>
            <w:tcW w:w="787" w:type="dxa"/>
            <w:tcBorders>
              <w:top w:val="nil"/>
              <w:left w:val="nil"/>
              <w:bottom w:val="single" w:sz="4" w:space="0" w:color="auto"/>
              <w:right w:val="nil"/>
            </w:tcBorders>
            <w:shd w:val="clear" w:color="auto" w:fill="auto"/>
            <w:noWrap/>
            <w:vAlign w:val="bottom"/>
            <w:hideMark/>
          </w:tcPr>
          <w:p w14:paraId="1241F59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1.5 b</w:t>
            </w:r>
          </w:p>
        </w:tc>
        <w:tc>
          <w:tcPr>
            <w:tcW w:w="787" w:type="dxa"/>
            <w:tcBorders>
              <w:top w:val="nil"/>
              <w:left w:val="nil"/>
              <w:bottom w:val="single" w:sz="4" w:space="0" w:color="auto"/>
              <w:right w:val="nil"/>
            </w:tcBorders>
            <w:shd w:val="clear" w:color="auto" w:fill="auto"/>
            <w:noWrap/>
            <w:vAlign w:val="bottom"/>
            <w:hideMark/>
          </w:tcPr>
          <w:p w14:paraId="0776B7B0"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1.4 d</w:t>
            </w:r>
          </w:p>
        </w:tc>
        <w:tc>
          <w:tcPr>
            <w:tcW w:w="787" w:type="dxa"/>
            <w:tcBorders>
              <w:top w:val="nil"/>
              <w:left w:val="nil"/>
              <w:bottom w:val="single" w:sz="4" w:space="0" w:color="auto"/>
              <w:right w:val="nil"/>
            </w:tcBorders>
            <w:shd w:val="clear" w:color="auto" w:fill="auto"/>
            <w:noWrap/>
            <w:vAlign w:val="bottom"/>
            <w:hideMark/>
          </w:tcPr>
          <w:p w14:paraId="70717FA6"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1.6 b</w:t>
            </w:r>
          </w:p>
        </w:tc>
        <w:tc>
          <w:tcPr>
            <w:tcW w:w="787" w:type="dxa"/>
            <w:tcBorders>
              <w:top w:val="nil"/>
              <w:left w:val="nil"/>
              <w:bottom w:val="single" w:sz="4" w:space="0" w:color="auto"/>
              <w:right w:val="nil"/>
            </w:tcBorders>
            <w:shd w:val="clear" w:color="auto" w:fill="auto"/>
            <w:noWrap/>
            <w:vAlign w:val="bottom"/>
            <w:hideMark/>
          </w:tcPr>
          <w:p w14:paraId="4D3B03A8"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2.2 </w:t>
            </w:r>
            <w:proofErr w:type="spellStart"/>
            <w:r w:rsidRPr="00DE39BB">
              <w:rPr>
                <w:rFonts w:ascii="Calibri" w:eastAsia="Times New Roman" w:hAnsi="Calibri" w:cs="Calibri"/>
                <w:color w:val="000000"/>
                <w:sz w:val="16"/>
                <w:szCs w:val="16"/>
              </w:rPr>
              <w:t>bc</w:t>
            </w:r>
            <w:proofErr w:type="spellEnd"/>
          </w:p>
        </w:tc>
        <w:tc>
          <w:tcPr>
            <w:tcW w:w="948" w:type="dxa"/>
            <w:tcBorders>
              <w:top w:val="nil"/>
              <w:left w:val="nil"/>
              <w:bottom w:val="single" w:sz="4" w:space="0" w:color="auto"/>
              <w:right w:val="nil"/>
            </w:tcBorders>
            <w:shd w:val="clear" w:color="auto" w:fill="auto"/>
            <w:noWrap/>
            <w:vAlign w:val="bottom"/>
            <w:hideMark/>
          </w:tcPr>
          <w:p w14:paraId="6C0823B6"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4.1 c</w:t>
            </w:r>
          </w:p>
        </w:tc>
        <w:tc>
          <w:tcPr>
            <w:tcW w:w="966" w:type="dxa"/>
            <w:tcBorders>
              <w:top w:val="nil"/>
              <w:left w:val="nil"/>
              <w:bottom w:val="single" w:sz="4" w:space="0" w:color="auto"/>
              <w:right w:val="nil"/>
            </w:tcBorders>
            <w:shd w:val="clear" w:color="auto" w:fill="auto"/>
            <w:noWrap/>
            <w:vAlign w:val="bottom"/>
            <w:hideMark/>
          </w:tcPr>
          <w:p w14:paraId="0F4EFB99"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10.8 b</w:t>
            </w:r>
          </w:p>
        </w:tc>
      </w:tr>
      <w:tr w:rsidR="00DE39BB" w:rsidRPr="00DE39BB" w14:paraId="0DB3ED40"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5DB978C5"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Nero di Toscano</w:t>
            </w:r>
          </w:p>
        </w:tc>
        <w:tc>
          <w:tcPr>
            <w:tcW w:w="1439" w:type="dxa"/>
            <w:tcBorders>
              <w:top w:val="nil"/>
              <w:left w:val="nil"/>
              <w:bottom w:val="single" w:sz="4" w:space="0" w:color="auto"/>
              <w:right w:val="nil"/>
            </w:tcBorders>
            <w:shd w:val="clear" w:color="auto" w:fill="auto"/>
            <w:vAlign w:val="bottom"/>
            <w:hideMark/>
          </w:tcPr>
          <w:p w14:paraId="2F5B098A"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unique-savoyed</w:t>
            </w:r>
            <w:r w:rsidRPr="00DE39BB">
              <w:rPr>
                <w:rFonts w:ascii="Calibri" w:eastAsia="Times New Roman" w:hAnsi="Calibri" w:cs="Calibri"/>
                <w:color w:val="000000"/>
                <w:sz w:val="16"/>
                <w:szCs w:val="16"/>
              </w:rPr>
              <w:br/>
              <w:t>extra dk green</w:t>
            </w:r>
          </w:p>
        </w:tc>
        <w:tc>
          <w:tcPr>
            <w:tcW w:w="787" w:type="dxa"/>
            <w:tcBorders>
              <w:top w:val="nil"/>
              <w:left w:val="nil"/>
              <w:bottom w:val="single" w:sz="4" w:space="0" w:color="auto"/>
              <w:right w:val="nil"/>
            </w:tcBorders>
            <w:shd w:val="clear" w:color="auto" w:fill="auto"/>
            <w:noWrap/>
            <w:vAlign w:val="bottom"/>
            <w:hideMark/>
          </w:tcPr>
          <w:p w14:paraId="5289C328"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1.3 c</w:t>
            </w:r>
          </w:p>
        </w:tc>
        <w:tc>
          <w:tcPr>
            <w:tcW w:w="787" w:type="dxa"/>
            <w:tcBorders>
              <w:top w:val="nil"/>
              <w:left w:val="nil"/>
              <w:bottom w:val="single" w:sz="4" w:space="0" w:color="auto"/>
              <w:right w:val="nil"/>
            </w:tcBorders>
            <w:shd w:val="clear" w:color="auto" w:fill="auto"/>
            <w:noWrap/>
            <w:vAlign w:val="bottom"/>
            <w:hideMark/>
          </w:tcPr>
          <w:p w14:paraId="0A10AF1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2.9 cd</w:t>
            </w:r>
          </w:p>
        </w:tc>
        <w:tc>
          <w:tcPr>
            <w:tcW w:w="787" w:type="dxa"/>
            <w:tcBorders>
              <w:top w:val="nil"/>
              <w:left w:val="nil"/>
              <w:bottom w:val="single" w:sz="4" w:space="0" w:color="auto"/>
              <w:right w:val="nil"/>
            </w:tcBorders>
            <w:shd w:val="clear" w:color="auto" w:fill="auto"/>
            <w:noWrap/>
            <w:vAlign w:val="bottom"/>
            <w:hideMark/>
          </w:tcPr>
          <w:p w14:paraId="3D1921B4"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2.4 b</w:t>
            </w:r>
          </w:p>
        </w:tc>
        <w:tc>
          <w:tcPr>
            <w:tcW w:w="787" w:type="dxa"/>
            <w:tcBorders>
              <w:top w:val="nil"/>
              <w:left w:val="nil"/>
              <w:bottom w:val="single" w:sz="4" w:space="0" w:color="auto"/>
              <w:right w:val="nil"/>
            </w:tcBorders>
            <w:shd w:val="clear" w:color="auto" w:fill="auto"/>
            <w:noWrap/>
            <w:vAlign w:val="bottom"/>
            <w:hideMark/>
          </w:tcPr>
          <w:p w14:paraId="082EB9E8"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2.8 </w:t>
            </w:r>
            <w:proofErr w:type="spellStart"/>
            <w:r w:rsidRPr="00DE39BB">
              <w:rPr>
                <w:rFonts w:ascii="Calibri" w:eastAsia="Times New Roman" w:hAnsi="Calibri" w:cs="Calibri"/>
                <w:color w:val="000000"/>
                <w:sz w:val="16"/>
                <w:szCs w:val="16"/>
              </w:rPr>
              <w:t>abc</w:t>
            </w:r>
            <w:proofErr w:type="spellEnd"/>
          </w:p>
        </w:tc>
        <w:tc>
          <w:tcPr>
            <w:tcW w:w="787" w:type="dxa"/>
            <w:tcBorders>
              <w:top w:val="nil"/>
              <w:left w:val="nil"/>
              <w:bottom w:val="single" w:sz="4" w:space="0" w:color="auto"/>
              <w:right w:val="nil"/>
            </w:tcBorders>
            <w:shd w:val="clear" w:color="auto" w:fill="auto"/>
            <w:noWrap/>
            <w:vAlign w:val="bottom"/>
            <w:hideMark/>
          </w:tcPr>
          <w:p w14:paraId="039E9FA6"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3.4 a</w:t>
            </w:r>
          </w:p>
        </w:tc>
        <w:tc>
          <w:tcPr>
            <w:tcW w:w="787" w:type="dxa"/>
            <w:tcBorders>
              <w:top w:val="nil"/>
              <w:left w:val="nil"/>
              <w:bottom w:val="single" w:sz="4" w:space="0" w:color="auto"/>
              <w:right w:val="nil"/>
            </w:tcBorders>
            <w:shd w:val="clear" w:color="auto" w:fill="auto"/>
            <w:noWrap/>
            <w:vAlign w:val="bottom"/>
            <w:hideMark/>
          </w:tcPr>
          <w:p w14:paraId="775F56C7"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3.4 ab</w:t>
            </w:r>
          </w:p>
        </w:tc>
        <w:tc>
          <w:tcPr>
            <w:tcW w:w="948" w:type="dxa"/>
            <w:tcBorders>
              <w:top w:val="nil"/>
              <w:left w:val="nil"/>
              <w:bottom w:val="single" w:sz="4" w:space="0" w:color="auto"/>
              <w:right w:val="nil"/>
            </w:tcBorders>
            <w:shd w:val="clear" w:color="auto" w:fill="auto"/>
            <w:noWrap/>
            <w:vAlign w:val="bottom"/>
            <w:hideMark/>
          </w:tcPr>
          <w:p w14:paraId="1F910855"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4.2 c</w:t>
            </w:r>
          </w:p>
        </w:tc>
        <w:tc>
          <w:tcPr>
            <w:tcW w:w="966" w:type="dxa"/>
            <w:tcBorders>
              <w:top w:val="nil"/>
              <w:left w:val="nil"/>
              <w:bottom w:val="single" w:sz="4" w:space="0" w:color="auto"/>
              <w:right w:val="nil"/>
            </w:tcBorders>
            <w:shd w:val="clear" w:color="auto" w:fill="auto"/>
            <w:noWrap/>
            <w:vAlign w:val="bottom"/>
            <w:hideMark/>
          </w:tcPr>
          <w:p w14:paraId="19F9580F"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16.2 ab</w:t>
            </w:r>
          </w:p>
        </w:tc>
      </w:tr>
      <w:tr w:rsidR="00DE39BB" w:rsidRPr="00DE39BB" w14:paraId="51ADF721"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4AA173C3"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Red Russian</w:t>
            </w:r>
          </w:p>
        </w:tc>
        <w:tc>
          <w:tcPr>
            <w:tcW w:w="1439" w:type="dxa"/>
            <w:tcBorders>
              <w:top w:val="nil"/>
              <w:left w:val="nil"/>
              <w:bottom w:val="single" w:sz="4" w:space="0" w:color="auto"/>
              <w:right w:val="nil"/>
            </w:tcBorders>
            <w:shd w:val="clear" w:color="auto" w:fill="auto"/>
            <w:vAlign w:val="bottom"/>
            <w:hideMark/>
          </w:tcPr>
          <w:p w14:paraId="2EE2CC91"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flat toothed</w:t>
            </w:r>
            <w:r w:rsidRPr="00DE39BB">
              <w:rPr>
                <w:rFonts w:ascii="Calibri" w:eastAsia="Times New Roman" w:hAnsi="Calibri" w:cs="Calibri"/>
                <w:color w:val="000000"/>
                <w:sz w:val="16"/>
                <w:szCs w:val="16"/>
              </w:rPr>
              <w:br/>
              <w:t>purple, dk green</w:t>
            </w:r>
          </w:p>
        </w:tc>
        <w:tc>
          <w:tcPr>
            <w:tcW w:w="787" w:type="dxa"/>
            <w:tcBorders>
              <w:top w:val="nil"/>
              <w:left w:val="nil"/>
              <w:bottom w:val="single" w:sz="4" w:space="0" w:color="auto"/>
              <w:right w:val="nil"/>
            </w:tcBorders>
            <w:shd w:val="clear" w:color="auto" w:fill="auto"/>
            <w:noWrap/>
            <w:vAlign w:val="bottom"/>
            <w:hideMark/>
          </w:tcPr>
          <w:p w14:paraId="4DCEB084"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2.1 ab</w:t>
            </w:r>
          </w:p>
        </w:tc>
        <w:tc>
          <w:tcPr>
            <w:tcW w:w="787" w:type="dxa"/>
            <w:tcBorders>
              <w:top w:val="nil"/>
              <w:left w:val="nil"/>
              <w:bottom w:val="single" w:sz="4" w:space="0" w:color="auto"/>
              <w:right w:val="nil"/>
            </w:tcBorders>
            <w:shd w:val="clear" w:color="auto" w:fill="auto"/>
            <w:noWrap/>
            <w:vAlign w:val="bottom"/>
            <w:hideMark/>
          </w:tcPr>
          <w:p w14:paraId="0D5689A1"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4.3 ab</w:t>
            </w:r>
          </w:p>
        </w:tc>
        <w:tc>
          <w:tcPr>
            <w:tcW w:w="787" w:type="dxa"/>
            <w:tcBorders>
              <w:top w:val="nil"/>
              <w:left w:val="nil"/>
              <w:bottom w:val="single" w:sz="4" w:space="0" w:color="auto"/>
              <w:right w:val="nil"/>
            </w:tcBorders>
            <w:shd w:val="clear" w:color="auto" w:fill="auto"/>
            <w:noWrap/>
            <w:vAlign w:val="bottom"/>
            <w:hideMark/>
          </w:tcPr>
          <w:p w14:paraId="4BEA9884"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3.7 a</w:t>
            </w:r>
          </w:p>
        </w:tc>
        <w:tc>
          <w:tcPr>
            <w:tcW w:w="787" w:type="dxa"/>
            <w:tcBorders>
              <w:top w:val="nil"/>
              <w:left w:val="nil"/>
              <w:bottom w:val="single" w:sz="4" w:space="0" w:color="auto"/>
              <w:right w:val="nil"/>
            </w:tcBorders>
            <w:shd w:val="clear" w:color="auto" w:fill="auto"/>
            <w:noWrap/>
            <w:vAlign w:val="bottom"/>
            <w:hideMark/>
          </w:tcPr>
          <w:p w14:paraId="01E9CE2F"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3.1 ab</w:t>
            </w:r>
          </w:p>
        </w:tc>
        <w:tc>
          <w:tcPr>
            <w:tcW w:w="787" w:type="dxa"/>
            <w:tcBorders>
              <w:top w:val="nil"/>
              <w:left w:val="nil"/>
              <w:bottom w:val="single" w:sz="4" w:space="0" w:color="auto"/>
              <w:right w:val="nil"/>
            </w:tcBorders>
            <w:shd w:val="clear" w:color="auto" w:fill="auto"/>
            <w:noWrap/>
            <w:vAlign w:val="bottom"/>
            <w:hideMark/>
          </w:tcPr>
          <w:p w14:paraId="01978678"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3.5 a</w:t>
            </w:r>
          </w:p>
        </w:tc>
        <w:tc>
          <w:tcPr>
            <w:tcW w:w="787" w:type="dxa"/>
            <w:tcBorders>
              <w:top w:val="nil"/>
              <w:left w:val="nil"/>
              <w:bottom w:val="single" w:sz="4" w:space="0" w:color="auto"/>
              <w:right w:val="nil"/>
            </w:tcBorders>
            <w:shd w:val="clear" w:color="auto" w:fill="auto"/>
            <w:noWrap/>
            <w:vAlign w:val="bottom"/>
            <w:hideMark/>
          </w:tcPr>
          <w:p w14:paraId="2D0E4F36"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5.0 a</w:t>
            </w:r>
          </w:p>
        </w:tc>
        <w:tc>
          <w:tcPr>
            <w:tcW w:w="948" w:type="dxa"/>
            <w:tcBorders>
              <w:top w:val="nil"/>
              <w:left w:val="nil"/>
              <w:bottom w:val="single" w:sz="4" w:space="0" w:color="auto"/>
              <w:right w:val="nil"/>
            </w:tcBorders>
            <w:shd w:val="clear" w:color="auto" w:fill="auto"/>
            <w:noWrap/>
            <w:vAlign w:val="bottom"/>
            <w:hideMark/>
          </w:tcPr>
          <w:p w14:paraId="19019C2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6.4 ab</w:t>
            </w:r>
          </w:p>
        </w:tc>
        <w:tc>
          <w:tcPr>
            <w:tcW w:w="966" w:type="dxa"/>
            <w:tcBorders>
              <w:top w:val="nil"/>
              <w:left w:val="nil"/>
              <w:bottom w:val="single" w:sz="4" w:space="0" w:color="auto"/>
              <w:right w:val="nil"/>
            </w:tcBorders>
            <w:shd w:val="clear" w:color="auto" w:fill="auto"/>
            <w:noWrap/>
            <w:vAlign w:val="bottom"/>
            <w:hideMark/>
          </w:tcPr>
          <w:p w14:paraId="6DCFA305"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21.8 a</w:t>
            </w:r>
          </w:p>
        </w:tc>
      </w:tr>
      <w:tr w:rsidR="00DE39BB" w:rsidRPr="00DE39BB" w14:paraId="5670EC3E"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19EE9C69" w14:textId="77777777" w:rsidR="00DE39BB" w:rsidRPr="00DE39BB" w:rsidRDefault="00DE39BB" w:rsidP="00DE39BB">
            <w:pPr>
              <w:spacing w:after="0" w:line="240" w:lineRule="auto"/>
              <w:rPr>
                <w:rFonts w:ascii="Calibri" w:eastAsia="Times New Roman" w:hAnsi="Calibri" w:cs="Calibri"/>
                <w:color w:val="000000"/>
                <w:sz w:val="16"/>
                <w:szCs w:val="16"/>
              </w:rPr>
            </w:pPr>
            <w:proofErr w:type="spellStart"/>
            <w:r w:rsidRPr="00DE39BB">
              <w:rPr>
                <w:rFonts w:ascii="Calibri" w:eastAsia="Times New Roman" w:hAnsi="Calibri" w:cs="Calibri"/>
                <w:color w:val="000000"/>
                <w:sz w:val="16"/>
                <w:szCs w:val="16"/>
              </w:rPr>
              <w:t>Starbor</w:t>
            </w:r>
            <w:proofErr w:type="spellEnd"/>
          </w:p>
        </w:tc>
        <w:tc>
          <w:tcPr>
            <w:tcW w:w="1439" w:type="dxa"/>
            <w:tcBorders>
              <w:top w:val="nil"/>
              <w:left w:val="nil"/>
              <w:bottom w:val="single" w:sz="4" w:space="0" w:color="auto"/>
              <w:right w:val="nil"/>
            </w:tcBorders>
            <w:shd w:val="clear" w:color="auto" w:fill="auto"/>
            <w:vAlign w:val="bottom"/>
            <w:hideMark/>
          </w:tcPr>
          <w:p w14:paraId="71F31F70"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finely curled</w:t>
            </w:r>
            <w:r w:rsidRPr="00DE39BB">
              <w:rPr>
                <w:rFonts w:ascii="Calibri" w:eastAsia="Times New Roman" w:hAnsi="Calibri" w:cs="Calibri"/>
                <w:color w:val="000000"/>
                <w:sz w:val="16"/>
                <w:szCs w:val="16"/>
              </w:rPr>
              <w:br/>
              <w:t>dk blue green</w:t>
            </w:r>
          </w:p>
        </w:tc>
        <w:tc>
          <w:tcPr>
            <w:tcW w:w="787" w:type="dxa"/>
            <w:tcBorders>
              <w:top w:val="nil"/>
              <w:left w:val="nil"/>
              <w:bottom w:val="single" w:sz="4" w:space="0" w:color="auto"/>
              <w:right w:val="nil"/>
            </w:tcBorders>
            <w:shd w:val="clear" w:color="auto" w:fill="auto"/>
            <w:noWrap/>
            <w:vAlign w:val="bottom"/>
            <w:hideMark/>
          </w:tcPr>
          <w:p w14:paraId="170A0DD7"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1.5 </w:t>
            </w:r>
            <w:proofErr w:type="spellStart"/>
            <w:r w:rsidRPr="00DE39BB">
              <w:rPr>
                <w:rFonts w:ascii="Calibri" w:eastAsia="Times New Roman" w:hAnsi="Calibri" w:cs="Calibri"/>
                <w:color w:val="000000"/>
                <w:sz w:val="16"/>
                <w:szCs w:val="16"/>
              </w:rPr>
              <w:t>bc</w:t>
            </w:r>
            <w:proofErr w:type="spellEnd"/>
          </w:p>
        </w:tc>
        <w:tc>
          <w:tcPr>
            <w:tcW w:w="787" w:type="dxa"/>
            <w:tcBorders>
              <w:top w:val="nil"/>
              <w:left w:val="nil"/>
              <w:bottom w:val="single" w:sz="4" w:space="0" w:color="auto"/>
              <w:right w:val="nil"/>
            </w:tcBorders>
            <w:shd w:val="clear" w:color="auto" w:fill="auto"/>
            <w:noWrap/>
            <w:vAlign w:val="bottom"/>
            <w:hideMark/>
          </w:tcPr>
          <w:p w14:paraId="77C1B836"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2.5 d</w:t>
            </w:r>
          </w:p>
        </w:tc>
        <w:tc>
          <w:tcPr>
            <w:tcW w:w="787" w:type="dxa"/>
            <w:tcBorders>
              <w:top w:val="nil"/>
              <w:left w:val="nil"/>
              <w:bottom w:val="single" w:sz="4" w:space="0" w:color="auto"/>
              <w:right w:val="nil"/>
            </w:tcBorders>
            <w:shd w:val="clear" w:color="auto" w:fill="auto"/>
            <w:noWrap/>
            <w:vAlign w:val="bottom"/>
            <w:hideMark/>
          </w:tcPr>
          <w:p w14:paraId="5DC4D7EA"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1.5 b</w:t>
            </w:r>
          </w:p>
        </w:tc>
        <w:tc>
          <w:tcPr>
            <w:tcW w:w="787" w:type="dxa"/>
            <w:tcBorders>
              <w:top w:val="nil"/>
              <w:left w:val="nil"/>
              <w:bottom w:val="single" w:sz="4" w:space="0" w:color="auto"/>
              <w:right w:val="nil"/>
            </w:tcBorders>
            <w:shd w:val="clear" w:color="auto" w:fill="auto"/>
            <w:noWrap/>
            <w:vAlign w:val="bottom"/>
            <w:hideMark/>
          </w:tcPr>
          <w:p w14:paraId="639C2637"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1.8 cd</w:t>
            </w:r>
          </w:p>
        </w:tc>
        <w:tc>
          <w:tcPr>
            <w:tcW w:w="787" w:type="dxa"/>
            <w:tcBorders>
              <w:top w:val="nil"/>
              <w:left w:val="nil"/>
              <w:bottom w:val="single" w:sz="4" w:space="0" w:color="auto"/>
              <w:right w:val="nil"/>
            </w:tcBorders>
            <w:shd w:val="clear" w:color="auto" w:fill="auto"/>
            <w:noWrap/>
            <w:vAlign w:val="bottom"/>
            <w:hideMark/>
          </w:tcPr>
          <w:p w14:paraId="7872EFA2"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2.3 ab</w:t>
            </w:r>
          </w:p>
        </w:tc>
        <w:tc>
          <w:tcPr>
            <w:tcW w:w="787" w:type="dxa"/>
            <w:tcBorders>
              <w:top w:val="nil"/>
              <w:left w:val="nil"/>
              <w:bottom w:val="single" w:sz="4" w:space="0" w:color="auto"/>
              <w:right w:val="nil"/>
            </w:tcBorders>
            <w:shd w:val="clear" w:color="auto" w:fill="auto"/>
            <w:noWrap/>
            <w:vAlign w:val="bottom"/>
            <w:hideMark/>
          </w:tcPr>
          <w:p w14:paraId="6C600A04"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1.9 </w:t>
            </w:r>
            <w:proofErr w:type="spellStart"/>
            <w:r w:rsidRPr="00DE39BB">
              <w:rPr>
                <w:rFonts w:ascii="Calibri" w:eastAsia="Times New Roman" w:hAnsi="Calibri" w:cs="Calibri"/>
                <w:color w:val="000000"/>
                <w:sz w:val="16"/>
                <w:szCs w:val="16"/>
              </w:rPr>
              <w:t>bc</w:t>
            </w:r>
            <w:proofErr w:type="spellEnd"/>
          </w:p>
        </w:tc>
        <w:tc>
          <w:tcPr>
            <w:tcW w:w="948" w:type="dxa"/>
            <w:tcBorders>
              <w:top w:val="nil"/>
              <w:left w:val="nil"/>
              <w:bottom w:val="single" w:sz="4" w:space="0" w:color="auto"/>
              <w:right w:val="nil"/>
            </w:tcBorders>
            <w:shd w:val="clear" w:color="auto" w:fill="auto"/>
            <w:noWrap/>
            <w:vAlign w:val="bottom"/>
            <w:hideMark/>
          </w:tcPr>
          <w:p w14:paraId="3B6D3882"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4.0 c</w:t>
            </w:r>
          </w:p>
        </w:tc>
        <w:tc>
          <w:tcPr>
            <w:tcW w:w="966" w:type="dxa"/>
            <w:tcBorders>
              <w:top w:val="nil"/>
              <w:left w:val="nil"/>
              <w:bottom w:val="single" w:sz="4" w:space="0" w:color="auto"/>
              <w:right w:val="nil"/>
            </w:tcBorders>
            <w:shd w:val="clear" w:color="auto" w:fill="auto"/>
            <w:noWrap/>
            <w:vAlign w:val="bottom"/>
            <w:hideMark/>
          </w:tcPr>
          <w:p w14:paraId="681DB335"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11.5 b</w:t>
            </w:r>
          </w:p>
        </w:tc>
      </w:tr>
      <w:tr w:rsidR="00DE39BB" w:rsidRPr="00DE39BB" w14:paraId="0EFE948D"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4523E742"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Tronchuda</w:t>
            </w:r>
          </w:p>
        </w:tc>
        <w:tc>
          <w:tcPr>
            <w:tcW w:w="1439" w:type="dxa"/>
            <w:tcBorders>
              <w:top w:val="nil"/>
              <w:left w:val="nil"/>
              <w:bottom w:val="single" w:sz="4" w:space="0" w:color="auto"/>
              <w:right w:val="nil"/>
            </w:tcBorders>
            <w:shd w:val="clear" w:color="auto" w:fill="auto"/>
            <w:vAlign w:val="bottom"/>
            <w:hideMark/>
          </w:tcPr>
          <w:p w14:paraId="0D6B9590"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flat-rounded</w:t>
            </w:r>
            <w:r w:rsidRPr="00DE39BB">
              <w:rPr>
                <w:rFonts w:ascii="Calibri" w:eastAsia="Times New Roman" w:hAnsi="Calibri" w:cs="Calibri"/>
                <w:color w:val="000000"/>
                <w:sz w:val="16"/>
                <w:szCs w:val="16"/>
              </w:rPr>
              <w:br/>
              <w:t>green</w:t>
            </w:r>
          </w:p>
        </w:tc>
        <w:tc>
          <w:tcPr>
            <w:tcW w:w="787" w:type="dxa"/>
            <w:tcBorders>
              <w:top w:val="nil"/>
              <w:left w:val="nil"/>
              <w:bottom w:val="single" w:sz="4" w:space="0" w:color="auto"/>
              <w:right w:val="nil"/>
            </w:tcBorders>
            <w:shd w:val="clear" w:color="auto" w:fill="auto"/>
            <w:noWrap/>
            <w:vAlign w:val="bottom"/>
            <w:hideMark/>
          </w:tcPr>
          <w:p w14:paraId="73556CD5"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1.6 </w:t>
            </w:r>
            <w:proofErr w:type="spellStart"/>
            <w:r w:rsidRPr="00DE39BB">
              <w:rPr>
                <w:rFonts w:ascii="Calibri" w:eastAsia="Times New Roman" w:hAnsi="Calibri" w:cs="Calibri"/>
                <w:color w:val="000000"/>
                <w:sz w:val="16"/>
                <w:szCs w:val="16"/>
              </w:rPr>
              <w:t>bc</w:t>
            </w:r>
            <w:proofErr w:type="spellEnd"/>
          </w:p>
        </w:tc>
        <w:tc>
          <w:tcPr>
            <w:tcW w:w="787" w:type="dxa"/>
            <w:tcBorders>
              <w:top w:val="nil"/>
              <w:left w:val="nil"/>
              <w:bottom w:val="single" w:sz="4" w:space="0" w:color="auto"/>
              <w:right w:val="nil"/>
            </w:tcBorders>
            <w:shd w:val="clear" w:color="auto" w:fill="auto"/>
            <w:noWrap/>
            <w:vAlign w:val="bottom"/>
            <w:hideMark/>
          </w:tcPr>
          <w:p w14:paraId="2F3D181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3.2 </w:t>
            </w:r>
            <w:proofErr w:type="spellStart"/>
            <w:r w:rsidRPr="00DE39BB">
              <w:rPr>
                <w:rFonts w:ascii="Calibri" w:eastAsia="Times New Roman" w:hAnsi="Calibri" w:cs="Calibri"/>
                <w:color w:val="000000"/>
                <w:sz w:val="16"/>
                <w:szCs w:val="16"/>
              </w:rPr>
              <w:t>bcd</w:t>
            </w:r>
            <w:proofErr w:type="spellEnd"/>
          </w:p>
        </w:tc>
        <w:tc>
          <w:tcPr>
            <w:tcW w:w="787" w:type="dxa"/>
            <w:tcBorders>
              <w:top w:val="nil"/>
              <w:left w:val="nil"/>
              <w:bottom w:val="single" w:sz="4" w:space="0" w:color="auto"/>
              <w:right w:val="nil"/>
            </w:tcBorders>
            <w:shd w:val="clear" w:color="auto" w:fill="auto"/>
            <w:noWrap/>
            <w:vAlign w:val="bottom"/>
            <w:hideMark/>
          </w:tcPr>
          <w:p w14:paraId="55D14B92"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2.4 b</w:t>
            </w:r>
          </w:p>
        </w:tc>
        <w:tc>
          <w:tcPr>
            <w:tcW w:w="787" w:type="dxa"/>
            <w:tcBorders>
              <w:top w:val="nil"/>
              <w:left w:val="nil"/>
              <w:bottom w:val="single" w:sz="4" w:space="0" w:color="auto"/>
              <w:right w:val="nil"/>
            </w:tcBorders>
            <w:shd w:val="clear" w:color="auto" w:fill="auto"/>
            <w:noWrap/>
            <w:vAlign w:val="bottom"/>
            <w:hideMark/>
          </w:tcPr>
          <w:p w14:paraId="594D027E"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2.0 </w:t>
            </w:r>
            <w:proofErr w:type="spellStart"/>
            <w:r w:rsidRPr="00DE39BB">
              <w:rPr>
                <w:rFonts w:ascii="Calibri" w:eastAsia="Times New Roman" w:hAnsi="Calibri" w:cs="Calibri"/>
                <w:color w:val="000000"/>
                <w:sz w:val="16"/>
                <w:szCs w:val="16"/>
              </w:rPr>
              <w:t>bcd</w:t>
            </w:r>
            <w:proofErr w:type="spellEnd"/>
          </w:p>
        </w:tc>
        <w:tc>
          <w:tcPr>
            <w:tcW w:w="787" w:type="dxa"/>
            <w:tcBorders>
              <w:top w:val="nil"/>
              <w:left w:val="nil"/>
              <w:bottom w:val="single" w:sz="4" w:space="0" w:color="auto"/>
              <w:right w:val="nil"/>
            </w:tcBorders>
            <w:shd w:val="clear" w:color="auto" w:fill="auto"/>
            <w:noWrap/>
            <w:vAlign w:val="bottom"/>
            <w:hideMark/>
          </w:tcPr>
          <w:p w14:paraId="7A658F89"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2.0 ab</w:t>
            </w:r>
          </w:p>
        </w:tc>
        <w:tc>
          <w:tcPr>
            <w:tcW w:w="787" w:type="dxa"/>
            <w:tcBorders>
              <w:top w:val="nil"/>
              <w:left w:val="nil"/>
              <w:bottom w:val="single" w:sz="4" w:space="0" w:color="auto"/>
              <w:right w:val="nil"/>
            </w:tcBorders>
            <w:shd w:val="clear" w:color="auto" w:fill="auto"/>
            <w:noWrap/>
            <w:vAlign w:val="bottom"/>
            <w:hideMark/>
          </w:tcPr>
          <w:p w14:paraId="25406CF6"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2.1 </w:t>
            </w:r>
            <w:proofErr w:type="spellStart"/>
            <w:r w:rsidRPr="00DE39BB">
              <w:rPr>
                <w:rFonts w:ascii="Calibri" w:eastAsia="Times New Roman" w:hAnsi="Calibri" w:cs="Calibri"/>
                <w:color w:val="000000"/>
                <w:sz w:val="16"/>
                <w:szCs w:val="16"/>
              </w:rPr>
              <w:t>bc</w:t>
            </w:r>
            <w:proofErr w:type="spellEnd"/>
          </w:p>
        </w:tc>
        <w:tc>
          <w:tcPr>
            <w:tcW w:w="948" w:type="dxa"/>
            <w:tcBorders>
              <w:top w:val="nil"/>
              <w:left w:val="nil"/>
              <w:bottom w:val="single" w:sz="4" w:space="0" w:color="auto"/>
              <w:right w:val="nil"/>
            </w:tcBorders>
            <w:shd w:val="clear" w:color="auto" w:fill="auto"/>
            <w:noWrap/>
            <w:vAlign w:val="bottom"/>
            <w:hideMark/>
          </w:tcPr>
          <w:p w14:paraId="33A0EC50"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4.9 </w:t>
            </w:r>
            <w:proofErr w:type="spellStart"/>
            <w:r w:rsidRPr="00DE39BB">
              <w:rPr>
                <w:rFonts w:ascii="Calibri" w:eastAsia="Times New Roman" w:hAnsi="Calibri" w:cs="Calibri"/>
                <w:color w:val="000000"/>
                <w:sz w:val="16"/>
                <w:szCs w:val="16"/>
              </w:rPr>
              <w:t>abc</w:t>
            </w:r>
            <w:proofErr w:type="spellEnd"/>
          </w:p>
        </w:tc>
        <w:tc>
          <w:tcPr>
            <w:tcW w:w="966" w:type="dxa"/>
            <w:tcBorders>
              <w:top w:val="nil"/>
              <w:left w:val="nil"/>
              <w:bottom w:val="single" w:sz="4" w:space="0" w:color="auto"/>
              <w:right w:val="nil"/>
            </w:tcBorders>
            <w:shd w:val="clear" w:color="auto" w:fill="auto"/>
            <w:noWrap/>
            <w:vAlign w:val="bottom"/>
            <w:hideMark/>
          </w:tcPr>
          <w:p w14:paraId="3F9695D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13.5 b</w:t>
            </w:r>
          </w:p>
        </w:tc>
      </w:tr>
      <w:tr w:rsidR="00DE39BB" w:rsidRPr="00DE39BB" w14:paraId="229005A0"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579590FB"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Winterbor</w:t>
            </w:r>
          </w:p>
        </w:tc>
        <w:tc>
          <w:tcPr>
            <w:tcW w:w="1439" w:type="dxa"/>
            <w:tcBorders>
              <w:top w:val="nil"/>
              <w:left w:val="nil"/>
              <w:bottom w:val="single" w:sz="4" w:space="0" w:color="auto"/>
              <w:right w:val="nil"/>
            </w:tcBorders>
            <w:shd w:val="clear" w:color="auto" w:fill="auto"/>
            <w:vAlign w:val="bottom"/>
            <w:hideMark/>
          </w:tcPr>
          <w:p w14:paraId="1FE7CA06"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curled, ruffled</w:t>
            </w:r>
            <w:r w:rsidRPr="00DE39BB">
              <w:rPr>
                <w:rFonts w:ascii="Calibri" w:eastAsia="Times New Roman" w:hAnsi="Calibri" w:cs="Calibri"/>
                <w:color w:val="000000"/>
                <w:sz w:val="16"/>
                <w:szCs w:val="16"/>
              </w:rPr>
              <w:br/>
            </w:r>
            <w:proofErr w:type="gramStart"/>
            <w:r w:rsidRPr="00DE39BB">
              <w:rPr>
                <w:rFonts w:ascii="Calibri" w:eastAsia="Times New Roman" w:hAnsi="Calibri" w:cs="Calibri"/>
                <w:color w:val="000000"/>
                <w:sz w:val="16"/>
                <w:szCs w:val="16"/>
              </w:rPr>
              <w:t>blue-green</w:t>
            </w:r>
            <w:proofErr w:type="gramEnd"/>
          </w:p>
        </w:tc>
        <w:tc>
          <w:tcPr>
            <w:tcW w:w="787" w:type="dxa"/>
            <w:tcBorders>
              <w:top w:val="nil"/>
              <w:left w:val="nil"/>
              <w:bottom w:val="single" w:sz="4" w:space="0" w:color="auto"/>
              <w:right w:val="nil"/>
            </w:tcBorders>
            <w:shd w:val="clear" w:color="auto" w:fill="auto"/>
            <w:noWrap/>
            <w:vAlign w:val="bottom"/>
            <w:hideMark/>
          </w:tcPr>
          <w:p w14:paraId="1A3DFDAE"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2.0 ab</w:t>
            </w:r>
          </w:p>
        </w:tc>
        <w:tc>
          <w:tcPr>
            <w:tcW w:w="787" w:type="dxa"/>
            <w:tcBorders>
              <w:top w:val="nil"/>
              <w:left w:val="nil"/>
              <w:bottom w:val="single" w:sz="4" w:space="0" w:color="auto"/>
              <w:right w:val="nil"/>
            </w:tcBorders>
            <w:shd w:val="clear" w:color="auto" w:fill="auto"/>
            <w:noWrap/>
            <w:vAlign w:val="bottom"/>
            <w:hideMark/>
          </w:tcPr>
          <w:p w14:paraId="5739CA36"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4.7 a</w:t>
            </w:r>
          </w:p>
        </w:tc>
        <w:tc>
          <w:tcPr>
            <w:tcW w:w="787" w:type="dxa"/>
            <w:tcBorders>
              <w:top w:val="nil"/>
              <w:left w:val="nil"/>
              <w:bottom w:val="single" w:sz="4" w:space="0" w:color="auto"/>
              <w:right w:val="nil"/>
            </w:tcBorders>
            <w:shd w:val="clear" w:color="auto" w:fill="auto"/>
            <w:noWrap/>
            <w:vAlign w:val="bottom"/>
            <w:hideMark/>
          </w:tcPr>
          <w:p w14:paraId="5F0F56D4"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4.0 a</w:t>
            </w:r>
          </w:p>
        </w:tc>
        <w:tc>
          <w:tcPr>
            <w:tcW w:w="787" w:type="dxa"/>
            <w:tcBorders>
              <w:top w:val="nil"/>
              <w:left w:val="nil"/>
              <w:bottom w:val="single" w:sz="4" w:space="0" w:color="auto"/>
              <w:right w:val="nil"/>
            </w:tcBorders>
            <w:shd w:val="clear" w:color="auto" w:fill="auto"/>
            <w:noWrap/>
            <w:vAlign w:val="bottom"/>
            <w:hideMark/>
          </w:tcPr>
          <w:p w14:paraId="6A82DB5B"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3.4 a</w:t>
            </w:r>
          </w:p>
        </w:tc>
        <w:tc>
          <w:tcPr>
            <w:tcW w:w="787" w:type="dxa"/>
            <w:tcBorders>
              <w:top w:val="nil"/>
              <w:left w:val="nil"/>
              <w:bottom w:val="single" w:sz="4" w:space="0" w:color="auto"/>
              <w:right w:val="nil"/>
            </w:tcBorders>
            <w:shd w:val="clear" w:color="auto" w:fill="auto"/>
            <w:noWrap/>
            <w:vAlign w:val="bottom"/>
            <w:hideMark/>
          </w:tcPr>
          <w:p w14:paraId="392611D1"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3.2 ab</w:t>
            </w:r>
          </w:p>
        </w:tc>
        <w:tc>
          <w:tcPr>
            <w:tcW w:w="787" w:type="dxa"/>
            <w:tcBorders>
              <w:top w:val="nil"/>
              <w:left w:val="nil"/>
              <w:bottom w:val="single" w:sz="4" w:space="0" w:color="auto"/>
              <w:right w:val="nil"/>
            </w:tcBorders>
            <w:shd w:val="clear" w:color="auto" w:fill="auto"/>
            <w:noWrap/>
            <w:vAlign w:val="bottom"/>
            <w:hideMark/>
          </w:tcPr>
          <w:p w14:paraId="04865E04"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4.7 a</w:t>
            </w:r>
          </w:p>
        </w:tc>
        <w:tc>
          <w:tcPr>
            <w:tcW w:w="948" w:type="dxa"/>
            <w:tcBorders>
              <w:top w:val="nil"/>
              <w:left w:val="nil"/>
              <w:bottom w:val="single" w:sz="4" w:space="0" w:color="auto"/>
              <w:right w:val="nil"/>
            </w:tcBorders>
            <w:shd w:val="clear" w:color="auto" w:fill="auto"/>
            <w:noWrap/>
            <w:vAlign w:val="bottom"/>
            <w:hideMark/>
          </w:tcPr>
          <w:p w14:paraId="31D15FD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6.7 a</w:t>
            </w:r>
          </w:p>
        </w:tc>
        <w:tc>
          <w:tcPr>
            <w:tcW w:w="966" w:type="dxa"/>
            <w:tcBorders>
              <w:top w:val="nil"/>
              <w:left w:val="nil"/>
              <w:bottom w:val="single" w:sz="4" w:space="0" w:color="auto"/>
              <w:right w:val="nil"/>
            </w:tcBorders>
            <w:shd w:val="clear" w:color="auto" w:fill="auto"/>
            <w:noWrap/>
            <w:vAlign w:val="bottom"/>
            <w:hideMark/>
          </w:tcPr>
          <w:p w14:paraId="4855E71C"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21.9 a</w:t>
            </w:r>
          </w:p>
        </w:tc>
      </w:tr>
      <w:tr w:rsidR="00DE39BB" w:rsidRPr="00DE39BB" w14:paraId="2570838F"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0A34868C"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Standard error</w:t>
            </w:r>
          </w:p>
        </w:tc>
        <w:tc>
          <w:tcPr>
            <w:tcW w:w="1439" w:type="dxa"/>
            <w:tcBorders>
              <w:top w:val="nil"/>
              <w:left w:val="nil"/>
              <w:bottom w:val="single" w:sz="4" w:space="0" w:color="auto"/>
              <w:right w:val="nil"/>
            </w:tcBorders>
            <w:shd w:val="clear" w:color="auto" w:fill="auto"/>
            <w:noWrap/>
            <w:vAlign w:val="bottom"/>
            <w:hideMark/>
          </w:tcPr>
          <w:p w14:paraId="1C1A5DE9"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 </w:t>
            </w:r>
          </w:p>
        </w:tc>
        <w:tc>
          <w:tcPr>
            <w:tcW w:w="787" w:type="dxa"/>
            <w:tcBorders>
              <w:top w:val="nil"/>
              <w:left w:val="nil"/>
              <w:bottom w:val="single" w:sz="4" w:space="0" w:color="auto"/>
              <w:right w:val="nil"/>
            </w:tcBorders>
            <w:shd w:val="clear" w:color="auto" w:fill="auto"/>
            <w:noWrap/>
            <w:vAlign w:val="bottom"/>
            <w:hideMark/>
          </w:tcPr>
          <w:p w14:paraId="3A917E3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0.13</w:t>
            </w:r>
          </w:p>
        </w:tc>
        <w:tc>
          <w:tcPr>
            <w:tcW w:w="787" w:type="dxa"/>
            <w:tcBorders>
              <w:top w:val="nil"/>
              <w:left w:val="nil"/>
              <w:bottom w:val="single" w:sz="4" w:space="0" w:color="auto"/>
              <w:right w:val="nil"/>
            </w:tcBorders>
            <w:shd w:val="clear" w:color="auto" w:fill="auto"/>
            <w:noWrap/>
            <w:vAlign w:val="bottom"/>
            <w:hideMark/>
          </w:tcPr>
          <w:p w14:paraId="7AA33A19"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0.26</w:t>
            </w:r>
          </w:p>
        </w:tc>
        <w:tc>
          <w:tcPr>
            <w:tcW w:w="787" w:type="dxa"/>
            <w:tcBorders>
              <w:top w:val="nil"/>
              <w:left w:val="nil"/>
              <w:bottom w:val="single" w:sz="4" w:space="0" w:color="auto"/>
              <w:right w:val="nil"/>
            </w:tcBorders>
            <w:shd w:val="clear" w:color="auto" w:fill="auto"/>
            <w:noWrap/>
            <w:vAlign w:val="bottom"/>
            <w:hideMark/>
          </w:tcPr>
          <w:p w14:paraId="62F8CD89"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0.26</w:t>
            </w:r>
          </w:p>
        </w:tc>
        <w:tc>
          <w:tcPr>
            <w:tcW w:w="787" w:type="dxa"/>
            <w:tcBorders>
              <w:top w:val="nil"/>
              <w:left w:val="nil"/>
              <w:bottom w:val="single" w:sz="4" w:space="0" w:color="auto"/>
              <w:right w:val="nil"/>
            </w:tcBorders>
            <w:shd w:val="clear" w:color="auto" w:fill="auto"/>
            <w:noWrap/>
            <w:vAlign w:val="bottom"/>
            <w:hideMark/>
          </w:tcPr>
          <w:p w14:paraId="7DF1F5BB"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0.27</w:t>
            </w:r>
          </w:p>
        </w:tc>
        <w:tc>
          <w:tcPr>
            <w:tcW w:w="787" w:type="dxa"/>
            <w:tcBorders>
              <w:top w:val="nil"/>
              <w:left w:val="nil"/>
              <w:bottom w:val="single" w:sz="4" w:space="0" w:color="auto"/>
              <w:right w:val="nil"/>
            </w:tcBorders>
            <w:shd w:val="clear" w:color="auto" w:fill="auto"/>
            <w:noWrap/>
            <w:vAlign w:val="bottom"/>
            <w:hideMark/>
          </w:tcPr>
          <w:p w14:paraId="466CF587"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0.34</w:t>
            </w:r>
          </w:p>
        </w:tc>
        <w:tc>
          <w:tcPr>
            <w:tcW w:w="787" w:type="dxa"/>
            <w:tcBorders>
              <w:top w:val="nil"/>
              <w:left w:val="nil"/>
              <w:bottom w:val="single" w:sz="4" w:space="0" w:color="auto"/>
              <w:right w:val="nil"/>
            </w:tcBorders>
            <w:shd w:val="clear" w:color="auto" w:fill="auto"/>
            <w:noWrap/>
            <w:vAlign w:val="bottom"/>
            <w:hideMark/>
          </w:tcPr>
          <w:p w14:paraId="5D1419C7"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0.53</w:t>
            </w:r>
          </w:p>
        </w:tc>
        <w:tc>
          <w:tcPr>
            <w:tcW w:w="948" w:type="dxa"/>
            <w:tcBorders>
              <w:top w:val="nil"/>
              <w:left w:val="nil"/>
              <w:bottom w:val="single" w:sz="4" w:space="0" w:color="auto"/>
              <w:right w:val="nil"/>
            </w:tcBorders>
            <w:shd w:val="clear" w:color="auto" w:fill="auto"/>
            <w:noWrap/>
            <w:vAlign w:val="bottom"/>
            <w:hideMark/>
          </w:tcPr>
          <w:p w14:paraId="672DCA0C"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0.38</w:t>
            </w:r>
          </w:p>
        </w:tc>
        <w:tc>
          <w:tcPr>
            <w:tcW w:w="966" w:type="dxa"/>
            <w:tcBorders>
              <w:top w:val="nil"/>
              <w:left w:val="nil"/>
              <w:bottom w:val="single" w:sz="4" w:space="0" w:color="auto"/>
              <w:right w:val="nil"/>
            </w:tcBorders>
            <w:shd w:val="clear" w:color="auto" w:fill="auto"/>
            <w:noWrap/>
            <w:vAlign w:val="bottom"/>
            <w:hideMark/>
          </w:tcPr>
          <w:p w14:paraId="62AD17A2"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1.24</w:t>
            </w:r>
          </w:p>
        </w:tc>
      </w:tr>
    </w:tbl>
    <w:p w14:paraId="6873D964" w14:textId="77777777" w:rsidR="00DE39BB" w:rsidRDefault="00DE39BB" w:rsidP="00DE39BB">
      <w:pPr>
        <w:spacing w:after="0" w:line="240" w:lineRule="auto"/>
        <w:rPr>
          <w:sz w:val="24"/>
          <w:szCs w:val="24"/>
          <w:vertAlign w:val="superscript"/>
        </w:rPr>
      </w:pPr>
    </w:p>
    <w:p w14:paraId="3F67C65E" w14:textId="77777777" w:rsidR="00DE39BB" w:rsidRDefault="00DE39BB" w:rsidP="00DE39BB">
      <w:pPr>
        <w:spacing w:after="0" w:line="240" w:lineRule="auto"/>
        <w:rPr>
          <w:sz w:val="24"/>
          <w:szCs w:val="24"/>
        </w:rPr>
      </w:pPr>
      <w:r w:rsidRPr="00DE39BB">
        <w:rPr>
          <w:sz w:val="24"/>
          <w:szCs w:val="24"/>
          <w:vertAlign w:val="superscript"/>
        </w:rPr>
        <w:t>z</w:t>
      </w:r>
      <w:r w:rsidRPr="00DE39BB">
        <w:rPr>
          <w:sz w:val="24"/>
          <w:szCs w:val="24"/>
        </w:rPr>
        <w:t xml:space="preserve"> - Early yield was the first two harvests only, 16-April and 8-May</w:t>
      </w:r>
    </w:p>
    <w:p w14:paraId="0B31D35A" w14:textId="77777777" w:rsidR="00DE39BB" w:rsidRDefault="00DE39BB" w:rsidP="00DE39BB">
      <w:pPr>
        <w:spacing w:after="0" w:line="240" w:lineRule="auto"/>
        <w:rPr>
          <w:sz w:val="24"/>
          <w:szCs w:val="24"/>
        </w:rPr>
      </w:pPr>
      <w:r w:rsidRPr="00DE39BB">
        <w:rPr>
          <w:sz w:val="24"/>
          <w:szCs w:val="24"/>
          <w:vertAlign w:val="superscript"/>
        </w:rPr>
        <w:t>y</w:t>
      </w:r>
      <w:r w:rsidRPr="00DE39BB">
        <w:rPr>
          <w:sz w:val="24"/>
          <w:szCs w:val="24"/>
        </w:rPr>
        <w:t>- Total yield was the total of all six harvests</w:t>
      </w:r>
    </w:p>
    <w:p w14:paraId="1185D6F3" w14:textId="77777777" w:rsidR="00DE39BB" w:rsidRPr="00DE39BB" w:rsidRDefault="00DE39BB" w:rsidP="00DE39BB">
      <w:pPr>
        <w:spacing w:after="0" w:line="240" w:lineRule="auto"/>
        <w:rPr>
          <w:sz w:val="24"/>
          <w:szCs w:val="24"/>
        </w:rPr>
      </w:pPr>
    </w:p>
    <w:p w14:paraId="5693E50B" w14:textId="77777777" w:rsidR="002C3758" w:rsidRDefault="001608B3" w:rsidP="00F82A58">
      <w:pPr>
        <w:spacing w:line="480" w:lineRule="auto"/>
        <w:rPr>
          <w:sz w:val="24"/>
          <w:szCs w:val="24"/>
        </w:rPr>
      </w:pPr>
      <w:r>
        <w:rPr>
          <w:sz w:val="24"/>
          <w:szCs w:val="24"/>
        </w:rPr>
        <w:t>Acknowledgements</w:t>
      </w:r>
    </w:p>
    <w:p w14:paraId="02C6BCC1" w14:textId="77777777" w:rsidR="001608B3" w:rsidRDefault="001608B3" w:rsidP="00F82A58">
      <w:pPr>
        <w:spacing w:line="480" w:lineRule="auto"/>
        <w:rPr>
          <w:sz w:val="24"/>
          <w:szCs w:val="24"/>
        </w:rPr>
      </w:pPr>
      <w:r>
        <w:rPr>
          <w:sz w:val="24"/>
          <w:szCs w:val="24"/>
        </w:rPr>
        <w:t>The authors wish to thank Dr. Edzard van Santen, Director of the IFAS Statistical Consulting Unit, University of Florida</w:t>
      </w:r>
      <w:r w:rsidR="00027EBF">
        <w:rPr>
          <w:sz w:val="24"/>
          <w:szCs w:val="24"/>
        </w:rPr>
        <w:t>,</w:t>
      </w:r>
      <w:r>
        <w:rPr>
          <w:sz w:val="24"/>
          <w:szCs w:val="24"/>
        </w:rPr>
        <w:t xml:space="preserve"> for conducting the statistical analysis.</w:t>
      </w:r>
    </w:p>
    <w:p w14:paraId="1D43DEDB" w14:textId="77777777" w:rsidR="008A4887" w:rsidRDefault="008A4887" w:rsidP="00F82A58">
      <w:pPr>
        <w:spacing w:line="480" w:lineRule="auto"/>
        <w:rPr>
          <w:sz w:val="24"/>
          <w:szCs w:val="24"/>
        </w:rPr>
      </w:pPr>
    </w:p>
    <w:p w14:paraId="4FC92784" w14:textId="77777777" w:rsidR="008A4887" w:rsidRDefault="008A4887" w:rsidP="00F82A58">
      <w:pPr>
        <w:spacing w:line="480" w:lineRule="auto"/>
        <w:rPr>
          <w:sz w:val="24"/>
          <w:szCs w:val="24"/>
        </w:rPr>
      </w:pPr>
    </w:p>
    <w:p w14:paraId="72FDC705" w14:textId="77777777" w:rsidR="008A4887" w:rsidRDefault="008A4887" w:rsidP="00F82A58">
      <w:pPr>
        <w:spacing w:line="480" w:lineRule="auto"/>
        <w:rPr>
          <w:sz w:val="24"/>
          <w:szCs w:val="24"/>
        </w:rPr>
      </w:pPr>
    </w:p>
    <w:p w14:paraId="0CC90361" w14:textId="77777777" w:rsidR="008E3D8B" w:rsidRDefault="008E3D8B" w:rsidP="00F82A58">
      <w:pPr>
        <w:spacing w:line="480" w:lineRule="auto"/>
        <w:rPr>
          <w:sz w:val="24"/>
          <w:szCs w:val="24"/>
        </w:rPr>
      </w:pPr>
      <w:r>
        <w:rPr>
          <w:noProof/>
          <w:sz w:val="24"/>
          <w:szCs w:val="24"/>
        </w:rPr>
        <w:drawing>
          <wp:inline distT="0" distB="0" distL="0" distR="0" wp14:anchorId="3D2C9628" wp14:editId="72894881">
            <wp:extent cx="5944235" cy="443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438015"/>
                    </a:xfrm>
                    <a:prstGeom prst="rect">
                      <a:avLst/>
                    </a:prstGeom>
                    <a:noFill/>
                  </pic:spPr>
                </pic:pic>
              </a:graphicData>
            </a:graphic>
          </wp:inline>
        </w:drawing>
      </w:r>
    </w:p>
    <w:p w14:paraId="16935DC2" w14:textId="77777777" w:rsidR="008345C9" w:rsidRDefault="008345C9" w:rsidP="008345C9">
      <w:pPr>
        <w:spacing w:line="480" w:lineRule="auto"/>
        <w:rPr>
          <w:sz w:val="24"/>
          <w:szCs w:val="24"/>
        </w:rPr>
      </w:pPr>
      <w:r>
        <w:rPr>
          <w:sz w:val="24"/>
          <w:szCs w:val="24"/>
        </w:rPr>
        <w:t>Figure 1. Kale cultivar trial conducted in lay-flat coconut coir bags under an open shade structure in Live Oak, FL.</w:t>
      </w:r>
    </w:p>
    <w:p w14:paraId="2E8093D3" w14:textId="77777777" w:rsidR="0010600E" w:rsidRDefault="0010600E" w:rsidP="0010600E">
      <w:pPr>
        <w:spacing w:line="480" w:lineRule="auto"/>
        <w:rPr>
          <w:sz w:val="24"/>
          <w:szCs w:val="24"/>
        </w:rPr>
      </w:pPr>
      <w:r>
        <w:rPr>
          <w:noProof/>
          <w:sz w:val="24"/>
          <w:szCs w:val="24"/>
        </w:rPr>
        <w:lastRenderedPageBreak/>
        <w:drawing>
          <wp:inline distT="0" distB="0" distL="0" distR="0" wp14:anchorId="17AF841D" wp14:editId="436BFAC4">
            <wp:extent cx="4957889" cy="3716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1227" cy="3726960"/>
                    </a:xfrm>
                    <a:prstGeom prst="rect">
                      <a:avLst/>
                    </a:prstGeom>
                    <a:noFill/>
                  </pic:spPr>
                </pic:pic>
              </a:graphicData>
            </a:graphic>
          </wp:inline>
        </w:drawing>
      </w:r>
    </w:p>
    <w:p w14:paraId="15B3CFE9" w14:textId="77777777" w:rsidR="0010600E" w:rsidRDefault="0010600E" w:rsidP="0010600E">
      <w:pPr>
        <w:spacing w:line="480" w:lineRule="auto"/>
        <w:rPr>
          <w:sz w:val="24"/>
          <w:szCs w:val="24"/>
        </w:rPr>
      </w:pPr>
      <w:r>
        <w:rPr>
          <w:sz w:val="24"/>
          <w:szCs w:val="24"/>
        </w:rPr>
        <w:t xml:space="preserve">Figure </w:t>
      </w:r>
      <w:r w:rsidR="00A37D7F">
        <w:rPr>
          <w:sz w:val="24"/>
          <w:szCs w:val="24"/>
        </w:rPr>
        <w:t>2</w:t>
      </w:r>
      <w:r>
        <w:rPr>
          <w:sz w:val="24"/>
          <w:szCs w:val="24"/>
        </w:rPr>
        <w:t>. Kale cultivars ready for leaf harvesting procedure during the spring season of 2015 in Live Oak, FL</w:t>
      </w:r>
    </w:p>
    <w:p w14:paraId="2E3BD159" w14:textId="77777777" w:rsidR="008A4887" w:rsidRDefault="008A4887" w:rsidP="00F82A58">
      <w:pPr>
        <w:spacing w:line="480" w:lineRule="auto"/>
        <w:rPr>
          <w:sz w:val="24"/>
          <w:szCs w:val="24"/>
        </w:rPr>
      </w:pPr>
    </w:p>
    <w:p w14:paraId="47DB038C" w14:textId="77777777" w:rsidR="008A4887" w:rsidRDefault="008A4887" w:rsidP="00F82A58">
      <w:pPr>
        <w:spacing w:line="480" w:lineRule="auto"/>
        <w:rPr>
          <w:sz w:val="24"/>
          <w:szCs w:val="24"/>
        </w:rPr>
      </w:pPr>
    </w:p>
    <w:p w14:paraId="3823DEE3" w14:textId="77777777" w:rsidR="008E3D8B" w:rsidRDefault="008E3D8B" w:rsidP="00F82A58">
      <w:pPr>
        <w:spacing w:line="480" w:lineRule="auto"/>
        <w:rPr>
          <w:sz w:val="24"/>
          <w:szCs w:val="24"/>
        </w:rPr>
      </w:pPr>
      <w:r>
        <w:rPr>
          <w:noProof/>
        </w:rPr>
        <w:lastRenderedPageBreak/>
        <w:drawing>
          <wp:inline distT="0" distB="0" distL="0" distR="0" wp14:anchorId="20800DD1" wp14:editId="6B9ED1E1">
            <wp:extent cx="4709549" cy="351757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4920" cy="3521581"/>
                    </a:xfrm>
                    <a:prstGeom prst="rect">
                      <a:avLst/>
                    </a:prstGeom>
                  </pic:spPr>
                </pic:pic>
              </a:graphicData>
            </a:graphic>
          </wp:inline>
        </w:drawing>
      </w:r>
    </w:p>
    <w:p w14:paraId="532A79D0" w14:textId="77777777" w:rsidR="008345C9" w:rsidRDefault="008345C9" w:rsidP="008345C9">
      <w:pPr>
        <w:spacing w:line="480" w:lineRule="auto"/>
        <w:rPr>
          <w:sz w:val="24"/>
          <w:szCs w:val="24"/>
        </w:rPr>
      </w:pPr>
      <w:r>
        <w:rPr>
          <w:sz w:val="24"/>
          <w:szCs w:val="24"/>
        </w:rPr>
        <w:t xml:space="preserve">Figure </w:t>
      </w:r>
      <w:r w:rsidR="00A37D7F">
        <w:rPr>
          <w:sz w:val="24"/>
          <w:szCs w:val="24"/>
        </w:rPr>
        <w:t>3</w:t>
      </w:r>
      <w:r>
        <w:rPr>
          <w:sz w:val="24"/>
          <w:szCs w:val="24"/>
        </w:rPr>
        <w:t>. Kale cultivars used in 2015 cultivar trial exhibiting a wide range of leaf texture and color.</w:t>
      </w:r>
    </w:p>
    <w:p w14:paraId="1F90081E" w14:textId="77777777" w:rsidR="008A4887" w:rsidRDefault="008A4887" w:rsidP="00F82A58">
      <w:pPr>
        <w:spacing w:line="480" w:lineRule="auto"/>
        <w:rPr>
          <w:sz w:val="24"/>
          <w:szCs w:val="24"/>
        </w:rPr>
      </w:pPr>
    </w:p>
    <w:p w14:paraId="73941B6C" w14:textId="77777777" w:rsidR="008A4887" w:rsidRDefault="008A4887" w:rsidP="00F82A58">
      <w:pPr>
        <w:spacing w:line="480" w:lineRule="auto"/>
        <w:rPr>
          <w:sz w:val="24"/>
          <w:szCs w:val="24"/>
        </w:rPr>
      </w:pPr>
    </w:p>
    <w:p w14:paraId="13ECE4BD" w14:textId="77777777" w:rsidR="008A4887" w:rsidRDefault="008A4887" w:rsidP="00F82A58">
      <w:pPr>
        <w:spacing w:line="480" w:lineRule="auto"/>
        <w:rPr>
          <w:sz w:val="24"/>
          <w:szCs w:val="24"/>
        </w:rPr>
      </w:pPr>
    </w:p>
    <w:p w14:paraId="020FECB9" w14:textId="77777777" w:rsidR="008A4887" w:rsidRDefault="008A4887" w:rsidP="00F82A58">
      <w:pPr>
        <w:spacing w:line="480" w:lineRule="auto"/>
        <w:rPr>
          <w:sz w:val="24"/>
          <w:szCs w:val="24"/>
        </w:rPr>
      </w:pPr>
    </w:p>
    <w:p w14:paraId="37F92251" w14:textId="77777777" w:rsidR="008A4887" w:rsidRDefault="008A4887" w:rsidP="00F82A58">
      <w:pPr>
        <w:spacing w:line="480" w:lineRule="auto"/>
        <w:rPr>
          <w:sz w:val="24"/>
          <w:szCs w:val="24"/>
        </w:rPr>
      </w:pPr>
    </w:p>
    <w:p w14:paraId="6BA63E3D" w14:textId="77777777" w:rsidR="008A4887" w:rsidRDefault="008A4887" w:rsidP="00F82A58">
      <w:pPr>
        <w:spacing w:line="480" w:lineRule="auto"/>
        <w:rPr>
          <w:sz w:val="24"/>
          <w:szCs w:val="24"/>
        </w:rPr>
      </w:pPr>
    </w:p>
    <w:p w14:paraId="63AE9F92" w14:textId="77777777" w:rsidR="008345C9" w:rsidRDefault="008345C9" w:rsidP="00F82A58">
      <w:pPr>
        <w:spacing w:line="480" w:lineRule="auto"/>
        <w:rPr>
          <w:sz w:val="24"/>
          <w:szCs w:val="24"/>
        </w:rPr>
      </w:pPr>
    </w:p>
    <w:sectPr w:rsidR="008345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EE799" w14:textId="77777777" w:rsidR="00E06495" w:rsidRDefault="00E06495" w:rsidP="008A4887">
      <w:pPr>
        <w:spacing w:after="0" w:line="240" w:lineRule="auto"/>
      </w:pPr>
      <w:r>
        <w:separator/>
      </w:r>
    </w:p>
  </w:endnote>
  <w:endnote w:type="continuationSeparator" w:id="0">
    <w:p w14:paraId="2B846ED8" w14:textId="77777777" w:rsidR="00E06495" w:rsidRDefault="00E06495" w:rsidP="008A4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1C2E7" w14:textId="77777777" w:rsidR="00E06495" w:rsidRDefault="00E06495" w:rsidP="008A4887">
      <w:pPr>
        <w:spacing w:after="0" w:line="240" w:lineRule="auto"/>
      </w:pPr>
      <w:r>
        <w:separator/>
      </w:r>
    </w:p>
  </w:footnote>
  <w:footnote w:type="continuationSeparator" w:id="0">
    <w:p w14:paraId="5DDAFD40" w14:textId="77777777" w:rsidR="00E06495" w:rsidRDefault="00E06495" w:rsidP="008A48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EB0ED8"/>
    <w:multiLevelType w:val="hybridMultilevel"/>
    <w:tmpl w:val="0B88CCA6"/>
    <w:lvl w:ilvl="0" w:tplc="D29AF5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A58"/>
    <w:rsid w:val="00027EBF"/>
    <w:rsid w:val="000460E8"/>
    <w:rsid w:val="0005445D"/>
    <w:rsid w:val="00057FD9"/>
    <w:rsid w:val="00092343"/>
    <w:rsid w:val="000B612C"/>
    <w:rsid w:val="0010600E"/>
    <w:rsid w:val="00136096"/>
    <w:rsid w:val="001402A5"/>
    <w:rsid w:val="001608B3"/>
    <w:rsid w:val="00200F33"/>
    <w:rsid w:val="0020137C"/>
    <w:rsid w:val="00202615"/>
    <w:rsid w:val="002533A7"/>
    <w:rsid w:val="00262AB5"/>
    <w:rsid w:val="002C33D4"/>
    <w:rsid w:val="002C3758"/>
    <w:rsid w:val="003022B1"/>
    <w:rsid w:val="00382C06"/>
    <w:rsid w:val="003C77E7"/>
    <w:rsid w:val="00403853"/>
    <w:rsid w:val="00444379"/>
    <w:rsid w:val="00462199"/>
    <w:rsid w:val="004E21FF"/>
    <w:rsid w:val="00563311"/>
    <w:rsid w:val="00583A6B"/>
    <w:rsid w:val="0059120C"/>
    <w:rsid w:val="005C3F09"/>
    <w:rsid w:val="005E25BE"/>
    <w:rsid w:val="00612949"/>
    <w:rsid w:val="00654F54"/>
    <w:rsid w:val="00656F9D"/>
    <w:rsid w:val="006E0EA9"/>
    <w:rsid w:val="006E60BA"/>
    <w:rsid w:val="007C64D1"/>
    <w:rsid w:val="007E60D2"/>
    <w:rsid w:val="007E78E0"/>
    <w:rsid w:val="008017B7"/>
    <w:rsid w:val="008345C9"/>
    <w:rsid w:val="00874B16"/>
    <w:rsid w:val="008827A9"/>
    <w:rsid w:val="008A4887"/>
    <w:rsid w:val="008B5E45"/>
    <w:rsid w:val="008E3D8B"/>
    <w:rsid w:val="008F0082"/>
    <w:rsid w:val="009137B6"/>
    <w:rsid w:val="009B0278"/>
    <w:rsid w:val="009B081B"/>
    <w:rsid w:val="009E65ED"/>
    <w:rsid w:val="009F5246"/>
    <w:rsid w:val="00A37D7F"/>
    <w:rsid w:val="00A40FA6"/>
    <w:rsid w:val="00A43443"/>
    <w:rsid w:val="00A84A82"/>
    <w:rsid w:val="00A97BA5"/>
    <w:rsid w:val="00AB07FC"/>
    <w:rsid w:val="00AB3FA9"/>
    <w:rsid w:val="00AF0608"/>
    <w:rsid w:val="00B40647"/>
    <w:rsid w:val="00B929A5"/>
    <w:rsid w:val="00B9300F"/>
    <w:rsid w:val="00B95A72"/>
    <w:rsid w:val="00C20D54"/>
    <w:rsid w:val="00C61271"/>
    <w:rsid w:val="00C82BD4"/>
    <w:rsid w:val="00C968CC"/>
    <w:rsid w:val="00CD6127"/>
    <w:rsid w:val="00D16CAC"/>
    <w:rsid w:val="00D31289"/>
    <w:rsid w:val="00DB73B4"/>
    <w:rsid w:val="00DC2DD1"/>
    <w:rsid w:val="00DE39BB"/>
    <w:rsid w:val="00E06495"/>
    <w:rsid w:val="00E23BDA"/>
    <w:rsid w:val="00E56F90"/>
    <w:rsid w:val="00F0792D"/>
    <w:rsid w:val="00F15AFF"/>
    <w:rsid w:val="00F35651"/>
    <w:rsid w:val="00F40656"/>
    <w:rsid w:val="00F46A3A"/>
    <w:rsid w:val="00F61CF5"/>
    <w:rsid w:val="00F82A58"/>
    <w:rsid w:val="00FC405A"/>
    <w:rsid w:val="00FD642B"/>
    <w:rsid w:val="00FE72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CC0623"/>
  <w15:docId w15:val="{D20D1B6D-67BB-4749-9F28-F0ED1D13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2A58"/>
    <w:pPr>
      <w:ind w:left="720"/>
      <w:contextualSpacing/>
    </w:pPr>
  </w:style>
  <w:style w:type="character" w:styleId="Hyperlink">
    <w:name w:val="Hyperlink"/>
    <w:basedOn w:val="DefaultParagraphFont"/>
    <w:uiPriority w:val="99"/>
    <w:unhideWhenUsed/>
    <w:rsid w:val="00874B16"/>
    <w:rPr>
      <w:color w:val="0563C1" w:themeColor="hyperlink"/>
      <w:u w:val="single"/>
    </w:rPr>
  </w:style>
  <w:style w:type="character" w:styleId="Emphasis">
    <w:name w:val="Emphasis"/>
    <w:basedOn w:val="DefaultParagraphFont"/>
    <w:uiPriority w:val="20"/>
    <w:qFormat/>
    <w:rsid w:val="00262AB5"/>
    <w:rPr>
      <w:i/>
      <w:iCs/>
    </w:rPr>
  </w:style>
  <w:style w:type="character" w:styleId="FollowedHyperlink">
    <w:name w:val="FollowedHyperlink"/>
    <w:basedOn w:val="DefaultParagraphFont"/>
    <w:uiPriority w:val="99"/>
    <w:semiHidden/>
    <w:unhideWhenUsed/>
    <w:rsid w:val="00262AB5"/>
    <w:rPr>
      <w:color w:val="954F72" w:themeColor="followedHyperlink"/>
      <w:u w:val="single"/>
    </w:rPr>
  </w:style>
  <w:style w:type="paragraph" w:styleId="BalloonText">
    <w:name w:val="Balloon Text"/>
    <w:basedOn w:val="Normal"/>
    <w:link w:val="BalloonTextChar"/>
    <w:uiPriority w:val="99"/>
    <w:semiHidden/>
    <w:unhideWhenUsed/>
    <w:rsid w:val="00C20D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D54"/>
    <w:rPr>
      <w:rFonts w:ascii="Segoe UI" w:hAnsi="Segoe UI" w:cs="Segoe UI"/>
      <w:sz w:val="18"/>
      <w:szCs w:val="18"/>
    </w:rPr>
  </w:style>
  <w:style w:type="paragraph" w:styleId="Header">
    <w:name w:val="header"/>
    <w:basedOn w:val="Normal"/>
    <w:link w:val="HeaderChar"/>
    <w:uiPriority w:val="99"/>
    <w:unhideWhenUsed/>
    <w:rsid w:val="008A4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887"/>
  </w:style>
  <w:style w:type="paragraph" w:styleId="Footer">
    <w:name w:val="footer"/>
    <w:basedOn w:val="Normal"/>
    <w:link w:val="FooterChar"/>
    <w:uiPriority w:val="99"/>
    <w:unhideWhenUsed/>
    <w:rsid w:val="008A4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887"/>
  </w:style>
  <w:style w:type="table" w:styleId="TableGrid">
    <w:name w:val="Table Grid"/>
    <w:basedOn w:val="TableNormal"/>
    <w:uiPriority w:val="39"/>
    <w:rsid w:val="00DE3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E21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56813">
      <w:bodyDiv w:val="1"/>
      <w:marLeft w:val="0"/>
      <w:marRight w:val="0"/>
      <w:marTop w:val="0"/>
      <w:marBottom w:val="0"/>
      <w:divBdr>
        <w:top w:val="none" w:sz="0" w:space="0" w:color="auto"/>
        <w:left w:val="none" w:sz="0" w:space="0" w:color="auto"/>
        <w:bottom w:val="none" w:sz="0" w:space="0" w:color="auto"/>
        <w:right w:val="none" w:sz="0" w:space="0" w:color="auto"/>
      </w:divBdr>
    </w:div>
    <w:div w:id="309988326">
      <w:bodyDiv w:val="1"/>
      <w:marLeft w:val="0"/>
      <w:marRight w:val="0"/>
      <w:marTop w:val="0"/>
      <w:marBottom w:val="0"/>
      <w:divBdr>
        <w:top w:val="none" w:sz="0" w:space="0" w:color="auto"/>
        <w:left w:val="none" w:sz="0" w:space="0" w:color="auto"/>
        <w:bottom w:val="none" w:sz="0" w:space="0" w:color="auto"/>
        <w:right w:val="none" w:sz="0" w:space="0" w:color="auto"/>
      </w:divBdr>
    </w:div>
    <w:div w:id="486943549">
      <w:bodyDiv w:val="1"/>
      <w:marLeft w:val="0"/>
      <w:marRight w:val="0"/>
      <w:marTop w:val="0"/>
      <w:marBottom w:val="0"/>
      <w:divBdr>
        <w:top w:val="none" w:sz="0" w:space="0" w:color="auto"/>
        <w:left w:val="none" w:sz="0" w:space="0" w:color="auto"/>
        <w:bottom w:val="none" w:sz="0" w:space="0" w:color="auto"/>
        <w:right w:val="none" w:sz="0" w:space="0" w:color="auto"/>
      </w:divBdr>
    </w:div>
    <w:div w:id="154148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bobhoch@ufl.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1081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Toro,Dilcia Elisa</dc:creator>
  <cp:keywords/>
  <dc:description/>
  <cp:lastModifiedBy>Hochmuth,Robert Conway</cp:lastModifiedBy>
  <cp:revision>4</cp:revision>
  <cp:lastPrinted>2016-12-05T16:37:00Z</cp:lastPrinted>
  <dcterms:created xsi:type="dcterms:W3CDTF">2022-03-13T00:45:00Z</dcterms:created>
  <dcterms:modified xsi:type="dcterms:W3CDTF">2022-03-13T00:56:00Z</dcterms:modified>
</cp:coreProperties>
</file>