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F77CB" w14:textId="043328F7" w:rsidR="00D04E5C" w:rsidRPr="00742D73" w:rsidRDefault="00D04E5C" w:rsidP="00D04E5C">
      <w:pPr>
        <w:rPr>
          <w:rFonts w:cstheme="minorHAnsi"/>
          <w:b/>
          <w:bCs/>
          <w:sz w:val="24"/>
          <w:szCs w:val="24"/>
        </w:rPr>
      </w:pPr>
      <w:r w:rsidRPr="00742D73">
        <w:rPr>
          <w:rFonts w:cstheme="minorHAnsi"/>
          <w:b/>
          <w:bCs/>
          <w:sz w:val="24"/>
          <w:szCs w:val="24"/>
        </w:rPr>
        <w:t xml:space="preserve">Evaluation of Different WestRock Paper Mulches in Comparison to </w:t>
      </w:r>
      <w:r w:rsidR="00EA32E9">
        <w:rPr>
          <w:rFonts w:cstheme="minorHAnsi"/>
          <w:b/>
          <w:bCs/>
          <w:sz w:val="24"/>
          <w:szCs w:val="24"/>
        </w:rPr>
        <w:t xml:space="preserve">Standard and Degradable </w:t>
      </w:r>
      <w:r w:rsidRPr="00742D73">
        <w:rPr>
          <w:rFonts w:cstheme="minorHAnsi"/>
          <w:b/>
          <w:bCs/>
          <w:sz w:val="24"/>
          <w:szCs w:val="24"/>
        </w:rPr>
        <w:t xml:space="preserve">Polyethylene Mulches for their Performance in </w:t>
      </w:r>
      <w:r w:rsidR="00EA32E9">
        <w:rPr>
          <w:rFonts w:cstheme="minorHAnsi"/>
          <w:b/>
          <w:bCs/>
          <w:sz w:val="24"/>
          <w:szCs w:val="24"/>
        </w:rPr>
        <w:t>Watermelon</w:t>
      </w:r>
      <w:r w:rsidRPr="00742D73">
        <w:rPr>
          <w:rFonts w:cstheme="minorHAnsi"/>
          <w:b/>
          <w:bCs/>
          <w:sz w:val="24"/>
          <w:szCs w:val="24"/>
        </w:rPr>
        <w:t xml:space="preserve"> Production</w:t>
      </w:r>
      <w:r w:rsidR="00EA32E9">
        <w:rPr>
          <w:rFonts w:cstheme="minorHAnsi"/>
          <w:b/>
          <w:bCs/>
          <w:sz w:val="24"/>
          <w:szCs w:val="24"/>
        </w:rPr>
        <w:t xml:space="preserve"> and Nutsedge Control</w:t>
      </w:r>
    </w:p>
    <w:p w14:paraId="53539723" w14:textId="41301C95" w:rsidR="00D04E5C" w:rsidRPr="00742D73" w:rsidRDefault="00D04E5C" w:rsidP="00D04E5C">
      <w:pPr>
        <w:spacing w:after="0"/>
        <w:rPr>
          <w:rFonts w:cstheme="minorHAnsi"/>
          <w:b/>
          <w:bCs/>
          <w:sz w:val="24"/>
          <w:szCs w:val="24"/>
        </w:rPr>
      </w:pPr>
      <w:r w:rsidRPr="00742D73">
        <w:rPr>
          <w:rFonts w:cstheme="minorHAnsi"/>
          <w:b/>
          <w:bCs/>
          <w:sz w:val="24"/>
          <w:szCs w:val="24"/>
        </w:rPr>
        <w:t>Robert Hochmuth</w:t>
      </w:r>
      <w:r w:rsidR="00EA32E9">
        <w:rPr>
          <w:rFonts w:cstheme="minorHAnsi"/>
          <w:b/>
          <w:bCs/>
          <w:sz w:val="24"/>
          <w:szCs w:val="24"/>
        </w:rPr>
        <w:t>, Morgan Morrow,</w:t>
      </w:r>
      <w:r w:rsidRPr="00742D73">
        <w:rPr>
          <w:rFonts w:cstheme="minorHAnsi"/>
          <w:b/>
          <w:bCs/>
          <w:sz w:val="24"/>
          <w:szCs w:val="24"/>
        </w:rPr>
        <w:t xml:space="preserve"> and Alexandor McMillan</w:t>
      </w:r>
    </w:p>
    <w:p w14:paraId="48DA053D" w14:textId="77777777" w:rsidR="00D04E5C" w:rsidRPr="00742D73" w:rsidRDefault="00D04E5C" w:rsidP="00D04E5C">
      <w:pPr>
        <w:spacing w:after="0"/>
        <w:rPr>
          <w:rFonts w:cstheme="minorHAnsi"/>
          <w:b/>
          <w:bCs/>
          <w:sz w:val="24"/>
          <w:szCs w:val="24"/>
        </w:rPr>
      </w:pPr>
      <w:r w:rsidRPr="00742D73">
        <w:rPr>
          <w:rFonts w:cstheme="minorHAnsi"/>
          <w:b/>
          <w:bCs/>
          <w:sz w:val="24"/>
          <w:szCs w:val="24"/>
        </w:rPr>
        <w:t>University of Florida, Institute of Food and Agricultural Sciences</w:t>
      </w:r>
    </w:p>
    <w:p w14:paraId="6F07C1BC" w14:textId="77777777" w:rsidR="00D04E5C" w:rsidRPr="00742D73" w:rsidRDefault="00D04E5C" w:rsidP="00D04E5C">
      <w:pPr>
        <w:spacing w:after="0"/>
        <w:rPr>
          <w:rFonts w:cstheme="minorHAnsi"/>
          <w:b/>
          <w:bCs/>
          <w:sz w:val="24"/>
          <w:szCs w:val="24"/>
        </w:rPr>
      </w:pPr>
      <w:r w:rsidRPr="00742D73">
        <w:rPr>
          <w:rFonts w:cstheme="minorHAnsi"/>
          <w:b/>
          <w:bCs/>
          <w:sz w:val="24"/>
          <w:szCs w:val="24"/>
        </w:rPr>
        <w:t>North Florida Research and Education Center- Suwannee Valley</w:t>
      </w:r>
    </w:p>
    <w:p w14:paraId="17A03B91" w14:textId="77777777" w:rsidR="00D04E5C" w:rsidRPr="00742D73" w:rsidRDefault="00D04E5C" w:rsidP="00D04E5C">
      <w:pPr>
        <w:spacing w:after="0"/>
        <w:rPr>
          <w:rFonts w:cstheme="minorHAnsi"/>
          <w:b/>
          <w:bCs/>
          <w:sz w:val="24"/>
          <w:szCs w:val="24"/>
        </w:rPr>
      </w:pPr>
      <w:r w:rsidRPr="00742D73">
        <w:rPr>
          <w:rFonts w:cstheme="minorHAnsi"/>
          <w:b/>
          <w:bCs/>
          <w:sz w:val="24"/>
          <w:szCs w:val="24"/>
        </w:rPr>
        <w:t>7580 CR 136 East</w:t>
      </w:r>
    </w:p>
    <w:p w14:paraId="7919DD4C" w14:textId="77777777" w:rsidR="00D04E5C" w:rsidRPr="00742D73" w:rsidRDefault="00D04E5C" w:rsidP="00D04E5C">
      <w:pPr>
        <w:spacing w:after="0"/>
        <w:rPr>
          <w:rFonts w:cstheme="minorHAnsi"/>
          <w:b/>
          <w:bCs/>
          <w:sz w:val="24"/>
          <w:szCs w:val="24"/>
        </w:rPr>
      </w:pPr>
      <w:r w:rsidRPr="00742D73">
        <w:rPr>
          <w:rFonts w:cstheme="minorHAnsi"/>
          <w:b/>
          <w:bCs/>
          <w:sz w:val="24"/>
          <w:szCs w:val="24"/>
        </w:rPr>
        <w:t>Live Oak, FL 32060</w:t>
      </w:r>
    </w:p>
    <w:p w14:paraId="704BB294" w14:textId="77777777" w:rsidR="00D04E5C" w:rsidRPr="00742D73" w:rsidRDefault="00FB4178" w:rsidP="00D04E5C">
      <w:pPr>
        <w:spacing w:after="0"/>
        <w:rPr>
          <w:rStyle w:val="Hyperlink"/>
          <w:rFonts w:cstheme="minorHAnsi"/>
          <w:b/>
          <w:bCs/>
          <w:sz w:val="24"/>
          <w:szCs w:val="24"/>
        </w:rPr>
      </w:pPr>
      <w:hyperlink r:id="rId7" w:history="1">
        <w:r w:rsidR="00D04E5C" w:rsidRPr="00742D73">
          <w:rPr>
            <w:rStyle w:val="Hyperlink"/>
            <w:rFonts w:cstheme="minorHAnsi"/>
            <w:b/>
            <w:bCs/>
            <w:sz w:val="24"/>
            <w:szCs w:val="24"/>
          </w:rPr>
          <w:t>bobhoch@ufl.edu</w:t>
        </w:r>
      </w:hyperlink>
    </w:p>
    <w:p w14:paraId="230ECF47" w14:textId="77777777" w:rsidR="00D04E5C" w:rsidRPr="00742D73" w:rsidRDefault="00D04E5C" w:rsidP="00D04E5C">
      <w:pPr>
        <w:rPr>
          <w:rFonts w:cstheme="minorHAnsi"/>
          <w:sz w:val="24"/>
          <w:szCs w:val="24"/>
        </w:rPr>
      </w:pPr>
    </w:p>
    <w:p w14:paraId="0A32A5D9" w14:textId="77777777" w:rsidR="00D04E5C" w:rsidRPr="00742D73" w:rsidRDefault="00D04E5C" w:rsidP="00D04E5C">
      <w:pPr>
        <w:rPr>
          <w:rFonts w:cstheme="minorHAnsi"/>
          <w:b/>
          <w:bCs/>
          <w:sz w:val="24"/>
          <w:szCs w:val="24"/>
          <w:u w:val="single"/>
        </w:rPr>
      </w:pPr>
      <w:r w:rsidRPr="00742D73">
        <w:rPr>
          <w:rFonts w:cstheme="minorHAnsi"/>
          <w:b/>
          <w:bCs/>
          <w:sz w:val="24"/>
          <w:szCs w:val="24"/>
          <w:u w:val="single"/>
        </w:rPr>
        <w:t>Materials and Methods</w:t>
      </w:r>
    </w:p>
    <w:p w14:paraId="54111B25" w14:textId="7C6EB89F" w:rsidR="00D04E5C" w:rsidRPr="00742D73" w:rsidRDefault="00D04E5C" w:rsidP="00D04E5C">
      <w:pPr>
        <w:rPr>
          <w:rFonts w:cstheme="minorHAnsi"/>
          <w:sz w:val="24"/>
          <w:szCs w:val="24"/>
        </w:rPr>
      </w:pPr>
      <w:r w:rsidRPr="00742D73">
        <w:rPr>
          <w:rFonts w:cstheme="minorHAnsi"/>
          <w:sz w:val="24"/>
          <w:szCs w:val="24"/>
        </w:rPr>
        <w:tab/>
        <w:t>This trial was conducted at the North Florida Research and Education Center- Suwannee Valley (NFREC-SV)</w:t>
      </w:r>
      <w:r w:rsidR="00EA32E9">
        <w:rPr>
          <w:rFonts w:cstheme="minorHAnsi"/>
          <w:sz w:val="24"/>
          <w:szCs w:val="24"/>
        </w:rPr>
        <w:t xml:space="preserve"> during the spring of 2021</w:t>
      </w:r>
      <w:r w:rsidRPr="00742D73">
        <w:rPr>
          <w:rFonts w:cstheme="minorHAnsi"/>
          <w:sz w:val="24"/>
          <w:szCs w:val="24"/>
        </w:rPr>
        <w:t>. The goal of this trial was to evaluate the effectiveness of t</w:t>
      </w:r>
      <w:r w:rsidR="00EA32E9">
        <w:rPr>
          <w:rFonts w:cstheme="minorHAnsi"/>
          <w:sz w:val="24"/>
          <w:szCs w:val="24"/>
        </w:rPr>
        <w:t>hree</w:t>
      </w:r>
      <w:r w:rsidRPr="00742D73">
        <w:rPr>
          <w:rFonts w:cstheme="minorHAnsi"/>
          <w:sz w:val="24"/>
          <w:szCs w:val="24"/>
        </w:rPr>
        <w:t xml:space="preserve"> paper mulch materials in comparison to a standard polyethylene mulch and a biodegradable polyethylene mulch. </w:t>
      </w:r>
    </w:p>
    <w:p w14:paraId="2F4B45D1" w14:textId="4602B98F" w:rsidR="00D04E5C" w:rsidRPr="00742D73" w:rsidRDefault="00D04E5C" w:rsidP="00D04E5C">
      <w:pPr>
        <w:spacing w:before="240"/>
        <w:rPr>
          <w:rFonts w:cstheme="minorHAnsi"/>
          <w:sz w:val="24"/>
          <w:szCs w:val="24"/>
        </w:rPr>
      </w:pPr>
      <w:r w:rsidRPr="00742D73">
        <w:rPr>
          <w:rFonts w:cstheme="minorHAnsi"/>
          <w:sz w:val="24"/>
          <w:szCs w:val="24"/>
        </w:rPr>
        <w:tab/>
        <w:t xml:space="preserve">The experimental area was prepared by power-tilling the soil and marking rows spaced </w:t>
      </w:r>
      <w:r w:rsidR="00EA32E9">
        <w:rPr>
          <w:rFonts w:cstheme="minorHAnsi"/>
          <w:sz w:val="24"/>
          <w:szCs w:val="24"/>
        </w:rPr>
        <w:t>ten</w:t>
      </w:r>
      <w:r w:rsidRPr="00742D73">
        <w:rPr>
          <w:rFonts w:cstheme="minorHAnsi"/>
          <w:sz w:val="24"/>
          <w:szCs w:val="24"/>
        </w:rPr>
        <w:t xml:space="preserve"> feet apart. The soil was fertilized with 400 lbs per acre of a complete fertilizer (14-4-14) (N- </w:t>
      </w:r>
      <w:r w:rsidRPr="007B38E6">
        <w:rPr>
          <w:rFonts w:cstheme="minorHAnsi"/>
          <w:sz w:val="24"/>
          <w:szCs w:val="24"/>
        </w:rPr>
        <w:t>P</w:t>
      </w:r>
      <w:r w:rsidRPr="00EC524A">
        <w:rPr>
          <w:rFonts w:cstheme="minorHAnsi"/>
          <w:sz w:val="24"/>
          <w:szCs w:val="24"/>
          <w:vertAlign w:val="subscript"/>
        </w:rPr>
        <w:t>2</w:t>
      </w:r>
      <w:r w:rsidRPr="00742D73">
        <w:rPr>
          <w:rFonts w:cstheme="minorHAnsi"/>
          <w:sz w:val="24"/>
          <w:szCs w:val="24"/>
        </w:rPr>
        <w:t>O</w:t>
      </w:r>
      <w:r w:rsidRPr="00742D73">
        <w:rPr>
          <w:rFonts w:cstheme="minorHAnsi"/>
          <w:sz w:val="24"/>
          <w:szCs w:val="24"/>
          <w:vertAlign w:val="subscript"/>
        </w:rPr>
        <w:t>5</w:t>
      </w:r>
      <w:r w:rsidRPr="00742D73">
        <w:rPr>
          <w:rFonts w:cstheme="minorHAnsi"/>
          <w:sz w:val="24"/>
          <w:szCs w:val="24"/>
        </w:rPr>
        <w:t>-K</w:t>
      </w:r>
      <w:r w:rsidRPr="00742D73">
        <w:rPr>
          <w:rFonts w:cstheme="minorHAnsi"/>
          <w:sz w:val="24"/>
          <w:szCs w:val="24"/>
          <w:vertAlign w:val="subscript"/>
        </w:rPr>
        <w:t>2</w:t>
      </w:r>
      <w:r w:rsidRPr="00742D73">
        <w:rPr>
          <w:rFonts w:cstheme="minorHAnsi"/>
          <w:sz w:val="24"/>
          <w:szCs w:val="24"/>
        </w:rPr>
        <w:t xml:space="preserve">O plus micronutrients). The fertilizer was incorporated into the soil by rototilling. Any additional fertilizer </w:t>
      </w:r>
      <w:r w:rsidR="00EA32E9">
        <w:rPr>
          <w:rFonts w:cstheme="minorHAnsi"/>
          <w:sz w:val="24"/>
          <w:szCs w:val="24"/>
        </w:rPr>
        <w:t xml:space="preserve">(liquid 7-0-7) </w:t>
      </w:r>
      <w:r w:rsidRPr="00742D73">
        <w:rPr>
          <w:rFonts w:cstheme="minorHAnsi"/>
          <w:sz w:val="24"/>
          <w:szCs w:val="24"/>
        </w:rPr>
        <w:t xml:space="preserve">was fertigated through drip irrigation tape on a weekly basis. A Kennco Manufacturing Inc. (Ruskin, Fl) bed press was used to form and press beds. The formed beds were 24 inches wide and 6 inches high. The plots were </w:t>
      </w:r>
      <w:r w:rsidR="00EA32E9">
        <w:rPr>
          <w:rFonts w:cstheme="minorHAnsi"/>
          <w:sz w:val="24"/>
          <w:szCs w:val="24"/>
        </w:rPr>
        <w:t>100</w:t>
      </w:r>
      <w:r w:rsidRPr="00742D73">
        <w:rPr>
          <w:rFonts w:cstheme="minorHAnsi"/>
          <w:sz w:val="24"/>
          <w:szCs w:val="24"/>
        </w:rPr>
        <w:t xml:space="preserve"> feet long with a </w:t>
      </w:r>
      <w:r w:rsidR="00EA32E9">
        <w:rPr>
          <w:rFonts w:cstheme="minorHAnsi"/>
          <w:sz w:val="24"/>
          <w:szCs w:val="24"/>
        </w:rPr>
        <w:t>2</w:t>
      </w:r>
      <w:r w:rsidRPr="00742D73">
        <w:rPr>
          <w:rFonts w:cstheme="minorHAnsi"/>
          <w:sz w:val="24"/>
          <w:szCs w:val="24"/>
        </w:rPr>
        <w:t xml:space="preserve"> foot “alley” of separation between</w:t>
      </w:r>
      <w:r w:rsidR="00EA32E9">
        <w:rPr>
          <w:rFonts w:cstheme="minorHAnsi"/>
          <w:sz w:val="24"/>
          <w:szCs w:val="24"/>
        </w:rPr>
        <w:t xml:space="preserve"> plots</w:t>
      </w:r>
      <w:r w:rsidRPr="00742D73">
        <w:rPr>
          <w:rFonts w:cstheme="minorHAnsi"/>
          <w:sz w:val="24"/>
          <w:szCs w:val="24"/>
        </w:rPr>
        <w:t xml:space="preserve"> down the row.</w:t>
      </w:r>
    </w:p>
    <w:p w14:paraId="75C22190" w14:textId="7884F084" w:rsidR="00D04E5C" w:rsidRPr="00742D73" w:rsidRDefault="00D04E5C" w:rsidP="00D04E5C">
      <w:pPr>
        <w:spacing w:before="240"/>
        <w:rPr>
          <w:rFonts w:cstheme="minorHAnsi"/>
          <w:sz w:val="24"/>
          <w:szCs w:val="24"/>
        </w:rPr>
      </w:pPr>
      <w:r w:rsidRPr="00742D73">
        <w:rPr>
          <w:rFonts w:cstheme="minorHAnsi"/>
          <w:sz w:val="24"/>
          <w:szCs w:val="24"/>
        </w:rPr>
        <w:tab/>
        <w:t xml:space="preserve"> Mulch treatments and drip irrigation tape were then applied</w:t>
      </w:r>
      <w:r w:rsidR="000114F5">
        <w:rPr>
          <w:rFonts w:cstheme="minorHAnsi"/>
          <w:sz w:val="24"/>
          <w:szCs w:val="24"/>
        </w:rPr>
        <w:t xml:space="preserve"> on March 24, 2021</w:t>
      </w:r>
      <w:r w:rsidRPr="00742D73">
        <w:rPr>
          <w:rFonts w:cstheme="minorHAnsi"/>
          <w:sz w:val="24"/>
          <w:szCs w:val="24"/>
        </w:rPr>
        <w:t xml:space="preserve"> with a “Kennco Speed Layer” to cover the pressed beds. There were 4 reps of mulch treatment. Treatments included</w:t>
      </w:r>
      <w:r w:rsidR="00F53EA2">
        <w:rPr>
          <w:rFonts w:cstheme="minorHAnsi"/>
          <w:sz w:val="24"/>
          <w:szCs w:val="24"/>
        </w:rPr>
        <w:t xml:space="preserve"> 3</w:t>
      </w:r>
      <w:r w:rsidRPr="00742D73">
        <w:rPr>
          <w:rFonts w:cstheme="minorHAnsi"/>
          <w:sz w:val="24"/>
          <w:szCs w:val="24"/>
        </w:rPr>
        <w:t xml:space="preserve"> </w:t>
      </w:r>
      <w:r w:rsidR="00F53EA2">
        <w:rPr>
          <w:rFonts w:cstheme="minorHAnsi"/>
          <w:sz w:val="24"/>
          <w:szCs w:val="24"/>
        </w:rPr>
        <w:t xml:space="preserve">WestRock </w:t>
      </w:r>
      <w:r w:rsidRPr="00742D73">
        <w:rPr>
          <w:rFonts w:cstheme="minorHAnsi"/>
          <w:sz w:val="24"/>
          <w:szCs w:val="24"/>
        </w:rPr>
        <w:t>paper mulch</w:t>
      </w:r>
      <w:r w:rsidR="00F53EA2">
        <w:rPr>
          <w:rFonts w:cstheme="minorHAnsi"/>
          <w:sz w:val="24"/>
          <w:szCs w:val="24"/>
        </w:rPr>
        <w:t>es Gen 1, Gen2, and Gen 3;</w:t>
      </w:r>
      <w:r w:rsidRPr="00742D73">
        <w:rPr>
          <w:rFonts w:cstheme="minorHAnsi"/>
          <w:sz w:val="24"/>
          <w:szCs w:val="24"/>
        </w:rPr>
        <w:t xml:space="preserve"> biodegradable polyethylene mulch Bio360, and a standard nondegradable polyethylene mulch</w:t>
      </w:r>
      <w:r w:rsidR="00EA32E9">
        <w:rPr>
          <w:rFonts w:cstheme="minorHAnsi"/>
          <w:sz w:val="24"/>
          <w:szCs w:val="24"/>
        </w:rPr>
        <w:t xml:space="preserve"> (black on white with black side up)</w:t>
      </w:r>
      <w:r w:rsidRPr="00742D73">
        <w:rPr>
          <w:rFonts w:cstheme="minorHAnsi"/>
          <w:sz w:val="24"/>
          <w:szCs w:val="24"/>
        </w:rPr>
        <w:t>. Drip irrigation tape was installed in the center of the bed top along with the application of the mulches</w:t>
      </w:r>
      <w:r>
        <w:rPr>
          <w:rFonts w:cstheme="minorHAnsi"/>
          <w:sz w:val="24"/>
          <w:szCs w:val="24"/>
        </w:rPr>
        <w:t xml:space="preserve"> </w:t>
      </w:r>
      <w:r w:rsidRPr="00742D73">
        <w:rPr>
          <w:rFonts w:cstheme="minorHAnsi"/>
          <w:sz w:val="24"/>
          <w:szCs w:val="24"/>
        </w:rPr>
        <w:t>and was used to irrigate the crop in all plots.</w:t>
      </w:r>
    </w:p>
    <w:p w14:paraId="338E8BD2" w14:textId="584BDBDF" w:rsidR="00D04E5C" w:rsidRPr="00742D73" w:rsidRDefault="00D04E5C" w:rsidP="00D04E5C">
      <w:pPr>
        <w:spacing w:before="240"/>
        <w:rPr>
          <w:rFonts w:cstheme="minorHAnsi"/>
          <w:sz w:val="24"/>
          <w:szCs w:val="24"/>
        </w:rPr>
      </w:pPr>
      <w:r w:rsidRPr="00742D73">
        <w:rPr>
          <w:rFonts w:cstheme="minorHAnsi"/>
          <w:sz w:val="24"/>
          <w:szCs w:val="24"/>
        </w:rPr>
        <w:tab/>
        <w:t xml:space="preserve">A standard </w:t>
      </w:r>
      <w:r w:rsidR="00F53EA2">
        <w:rPr>
          <w:rFonts w:cstheme="minorHAnsi"/>
          <w:sz w:val="24"/>
          <w:szCs w:val="24"/>
        </w:rPr>
        <w:t>seedless watermelon</w:t>
      </w:r>
      <w:r w:rsidRPr="00742D73">
        <w:rPr>
          <w:rFonts w:cstheme="minorHAnsi"/>
          <w:sz w:val="24"/>
          <w:szCs w:val="24"/>
        </w:rPr>
        <w:t xml:space="preserve"> cultivar, </w:t>
      </w:r>
      <w:r w:rsidR="00F53EA2">
        <w:rPr>
          <w:rFonts w:cstheme="minorHAnsi"/>
          <w:sz w:val="24"/>
          <w:szCs w:val="24"/>
        </w:rPr>
        <w:t>Fascination</w:t>
      </w:r>
      <w:r w:rsidRPr="00742D73">
        <w:rPr>
          <w:rFonts w:cstheme="minorHAnsi"/>
          <w:sz w:val="24"/>
          <w:szCs w:val="24"/>
        </w:rPr>
        <w:t>, was selected for the trial.</w:t>
      </w:r>
      <w:r w:rsidR="00F53EA2">
        <w:rPr>
          <w:rFonts w:cstheme="minorHAnsi"/>
          <w:sz w:val="24"/>
          <w:szCs w:val="24"/>
        </w:rPr>
        <w:t xml:space="preserve"> The superpollinizer cultivar, SP-7, was used to provide pollen to the seedless plants.</w:t>
      </w:r>
      <w:r w:rsidRPr="00742D73">
        <w:rPr>
          <w:rFonts w:cstheme="minorHAnsi"/>
          <w:sz w:val="24"/>
          <w:szCs w:val="24"/>
        </w:rPr>
        <w:t xml:space="preserve"> Holes were punched</w:t>
      </w:r>
      <w:r w:rsidR="00F53EA2">
        <w:rPr>
          <w:rFonts w:cstheme="minorHAnsi"/>
          <w:sz w:val="24"/>
          <w:szCs w:val="24"/>
        </w:rPr>
        <w:t xml:space="preserve"> with a Kennco metal spoked water wheel</w:t>
      </w:r>
      <w:r w:rsidRPr="00742D73">
        <w:rPr>
          <w:rFonts w:cstheme="minorHAnsi"/>
          <w:sz w:val="24"/>
          <w:szCs w:val="24"/>
        </w:rPr>
        <w:t xml:space="preserve"> in the mulches</w:t>
      </w:r>
      <w:r w:rsidR="00F53EA2">
        <w:rPr>
          <w:rFonts w:cstheme="minorHAnsi"/>
          <w:sz w:val="24"/>
          <w:szCs w:val="24"/>
        </w:rPr>
        <w:t xml:space="preserve"> 3-feet apart</w:t>
      </w:r>
      <w:r w:rsidRPr="00742D73">
        <w:rPr>
          <w:rFonts w:cstheme="minorHAnsi"/>
          <w:sz w:val="24"/>
          <w:szCs w:val="24"/>
        </w:rPr>
        <w:t xml:space="preserve"> </w:t>
      </w:r>
      <w:r w:rsidR="00F53EA2">
        <w:rPr>
          <w:rFonts w:cstheme="minorHAnsi"/>
          <w:sz w:val="24"/>
          <w:szCs w:val="24"/>
        </w:rPr>
        <w:t>for seedless t</w:t>
      </w:r>
      <w:r w:rsidRPr="00742D73">
        <w:rPr>
          <w:rFonts w:cstheme="minorHAnsi"/>
          <w:sz w:val="24"/>
          <w:szCs w:val="24"/>
        </w:rPr>
        <w:t>ransplants</w:t>
      </w:r>
      <w:r w:rsidR="00F53EA2">
        <w:rPr>
          <w:rFonts w:cstheme="minorHAnsi"/>
          <w:sz w:val="24"/>
          <w:szCs w:val="24"/>
        </w:rPr>
        <w:t>. Superpollinizer transplants were planted between the third and fourth seedless plants on the opposite side of the drip tape as the seedless transplants.</w:t>
      </w:r>
      <w:r w:rsidRPr="00742D73">
        <w:rPr>
          <w:rFonts w:cstheme="minorHAnsi"/>
          <w:sz w:val="24"/>
          <w:szCs w:val="24"/>
        </w:rPr>
        <w:t xml:space="preserve"> </w:t>
      </w:r>
      <w:r w:rsidR="00F53EA2">
        <w:rPr>
          <w:rFonts w:cstheme="minorHAnsi"/>
          <w:sz w:val="24"/>
          <w:szCs w:val="24"/>
        </w:rPr>
        <w:t xml:space="preserve">All transplants </w:t>
      </w:r>
      <w:r w:rsidRPr="00742D73">
        <w:rPr>
          <w:rFonts w:cstheme="minorHAnsi"/>
          <w:sz w:val="24"/>
          <w:szCs w:val="24"/>
        </w:rPr>
        <w:t xml:space="preserve">were planted </w:t>
      </w:r>
      <w:r w:rsidR="00F53EA2">
        <w:rPr>
          <w:rFonts w:cstheme="minorHAnsi"/>
          <w:sz w:val="24"/>
          <w:szCs w:val="24"/>
        </w:rPr>
        <w:t>on April 5, 2021</w:t>
      </w:r>
      <w:r w:rsidRPr="00742D73">
        <w:rPr>
          <w:rFonts w:cstheme="minorHAnsi"/>
          <w:sz w:val="24"/>
          <w:szCs w:val="24"/>
        </w:rPr>
        <w:t xml:space="preserve">. The </w:t>
      </w:r>
      <w:r w:rsidR="00F53EA2">
        <w:rPr>
          <w:rFonts w:cstheme="minorHAnsi"/>
          <w:sz w:val="24"/>
          <w:szCs w:val="24"/>
        </w:rPr>
        <w:t>watermelon</w:t>
      </w:r>
      <w:r w:rsidRPr="00742D73">
        <w:rPr>
          <w:rFonts w:cstheme="minorHAnsi"/>
          <w:sz w:val="24"/>
          <w:szCs w:val="24"/>
        </w:rPr>
        <w:t xml:space="preserve"> crop was managed for diseases and insects as needed during the season</w:t>
      </w:r>
      <w:r w:rsidR="00F53EA2">
        <w:rPr>
          <w:rFonts w:cstheme="minorHAnsi"/>
          <w:sz w:val="24"/>
          <w:szCs w:val="24"/>
        </w:rPr>
        <w:t xml:space="preserve"> using standard pesticides commonly used in watermelons.</w:t>
      </w:r>
      <w:r w:rsidRPr="00742D73">
        <w:rPr>
          <w:rFonts w:cstheme="minorHAnsi"/>
          <w:sz w:val="24"/>
          <w:szCs w:val="24"/>
        </w:rPr>
        <w:t xml:space="preserve"> </w:t>
      </w:r>
    </w:p>
    <w:p w14:paraId="7E96D086" w14:textId="1B9F5D70" w:rsidR="00D04E5C" w:rsidRPr="00742D73" w:rsidRDefault="00D04E5C" w:rsidP="00D04E5C">
      <w:pPr>
        <w:spacing w:before="240"/>
        <w:rPr>
          <w:rFonts w:cstheme="minorHAnsi"/>
          <w:sz w:val="24"/>
          <w:szCs w:val="24"/>
        </w:rPr>
      </w:pPr>
      <w:r w:rsidRPr="00742D73">
        <w:rPr>
          <w:rFonts w:cstheme="minorHAnsi"/>
          <w:sz w:val="24"/>
          <w:szCs w:val="24"/>
        </w:rPr>
        <w:tab/>
        <w:t xml:space="preserve">Data collection focused on two parameters, nutsedge </w:t>
      </w:r>
      <w:r w:rsidR="00F53EA2">
        <w:rPr>
          <w:rFonts w:cstheme="minorHAnsi"/>
          <w:sz w:val="24"/>
          <w:szCs w:val="24"/>
        </w:rPr>
        <w:t>plants</w:t>
      </w:r>
      <w:r w:rsidRPr="00742D73">
        <w:rPr>
          <w:rFonts w:cstheme="minorHAnsi"/>
          <w:sz w:val="24"/>
          <w:szCs w:val="24"/>
        </w:rPr>
        <w:t xml:space="preserve"> that emerged through the mulch treatments, and a rat</w:t>
      </w:r>
      <w:r w:rsidR="00F53EA2">
        <w:rPr>
          <w:rFonts w:cstheme="minorHAnsi"/>
          <w:sz w:val="24"/>
          <w:szCs w:val="24"/>
        </w:rPr>
        <w:t>e</w:t>
      </w:r>
      <w:r w:rsidRPr="00742D73">
        <w:rPr>
          <w:rFonts w:cstheme="minorHAnsi"/>
          <w:sz w:val="24"/>
          <w:szCs w:val="24"/>
        </w:rPr>
        <w:t xml:space="preserve"> of degradation for mulch treatments. </w:t>
      </w:r>
    </w:p>
    <w:p w14:paraId="7ACAB1B1" w14:textId="77777777" w:rsidR="00D04E5C" w:rsidRPr="00742D73" w:rsidRDefault="00D04E5C" w:rsidP="00D04E5C">
      <w:pPr>
        <w:pStyle w:val="ListParagraph"/>
        <w:numPr>
          <w:ilvl w:val="1"/>
          <w:numId w:val="1"/>
        </w:numPr>
        <w:spacing w:before="240"/>
        <w:rPr>
          <w:rFonts w:cstheme="minorHAnsi"/>
          <w:sz w:val="24"/>
          <w:szCs w:val="24"/>
          <w:u w:val="single"/>
        </w:rPr>
      </w:pPr>
      <w:r w:rsidRPr="00742D73">
        <w:rPr>
          <w:rFonts w:cstheme="minorHAnsi"/>
          <w:sz w:val="24"/>
          <w:szCs w:val="24"/>
          <w:u w:val="single"/>
        </w:rPr>
        <w:lastRenderedPageBreak/>
        <w:t>Nutsedge Population Count</w:t>
      </w:r>
    </w:p>
    <w:p w14:paraId="4D0FCDCF" w14:textId="77777777" w:rsidR="00D04E5C" w:rsidRPr="00742D73" w:rsidRDefault="00D04E5C" w:rsidP="00D04E5C">
      <w:pPr>
        <w:pStyle w:val="ListParagraph"/>
        <w:spacing w:before="240"/>
        <w:ind w:left="1440"/>
        <w:rPr>
          <w:rFonts w:cstheme="minorHAnsi"/>
          <w:sz w:val="24"/>
          <w:szCs w:val="24"/>
        </w:rPr>
      </w:pPr>
      <w:r w:rsidRPr="00742D73">
        <w:rPr>
          <w:rFonts w:cstheme="minorHAnsi"/>
          <w:sz w:val="24"/>
          <w:szCs w:val="24"/>
        </w:rPr>
        <w:t xml:space="preserve">The population of nutsedge that emerged through the mulch treatments was counted. This count did not include nutsedge that emerged through the punched plant holes. </w:t>
      </w:r>
    </w:p>
    <w:p w14:paraId="72575770" w14:textId="77777777" w:rsidR="00D04E5C" w:rsidRPr="00742D73" w:rsidRDefault="00D04E5C" w:rsidP="00D04E5C">
      <w:pPr>
        <w:pStyle w:val="ListParagraph"/>
        <w:numPr>
          <w:ilvl w:val="1"/>
          <w:numId w:val="1"/>
        </w:numPr>
        <w:spacing w:before="240"/>
        <w:rPr>
          <w:rStyle w:val="UnitHeading"/>
          <w:rFonts w:cstheme="minorHAnsi"/>
          <w:color w:val="auto"/>
          <w:sz w:val="24"/>
          <w:szCs w:val="24"/>
        </w:rPr>
      </w:pPr>
      <w:r w:rsidRPr="007B38E6">
        <w:rPr>
          <w:rStyle w:val="UnitHeading"/>
          <w:rFonts w:eastAsia="Times New Roman" w:cstheme="minorHAnsi"/>
          <w:color w:val="auto"/>
          <w:sz w:val="24"/>
          <w:szCs w:val="24"/>
          <w:u w:val="single"/>
        </w:rPr>
        <w:t>Mulch Degradation</w:t>
      </w:r>
    </w:p>
    <w:p w14:paraId="1BC24A58" w14:textId="76A8538B" w:rsidR="00D04E5C" w:rsidRDefault="00D04E5C" w:rsidP="00D04E5C">
      <w:pPr>
        <w:pStyle w:val="ListParagraph"/>
        <w:spacing w:before="240"/>
        <w:ind w:left="1440"/>
        <w:rPr>
          <w:rStyle w:val="UnitHeading"/>
          <w:rFonts w:cstheme="minorHAnsi"/>
          <w:color w:val="auto"/>
          <w:sz w:val="24"/>
          <w:szCs w:val="24"/>
        </w:rPr>
      </w:pPr>
      <w:r w:rsidRPr="007B38E6">
        <w:rPr>
          <w:rStyle w:val="UnitHeading"/>
          <w:rFonts w:eastAsia="Times New Roman" w:cstheme="minorHAnsi"/>
          <w:color w:val="auto"/>
          <w:sz w:val="24"/>
          <w:szCs w:val="24"/>
        </w:rPr>
        <w:t>The mulches were periodically rated visually for initiation of degradation and pr</w:t>
      </w:r>
      <w:r w:rsidRPr="00742D73">
        <w:rPr>
          <w:rStyle w:val="UnitHeading"/>
          <w:rFonts w:eastAsia="Times New Roman" w:cstheme="minorHAnsi"/>
          <w:color w:val="auto"/>
          <w:sz w:val="24"/>
          <w:szCs w:val="24"/>
        </w:rPr>
        <w:t>ogression of degradation. The assessment of degradation was emphasized on the buried tuck area to the side of the bed, as this is where the earliest signs of degradation occur</w:t>
      </w:r>
      <w:r>
        <w:rPr>
          <w:rStyle w:val="UnitHeading"/>
          <w:rFonts w:eastAsia="Times New Roman" w:cstheme="minorHAnsi"/>
          <w:color w:val="auto"/>
          <w:sz w:val="24"/>
          <w:szCs w:val="24"/>
        </w:rPr>
        <w:t>red</w:t>
      </w:r>
      <w:r w:rsidRPr="007B38E6">
        <w:rPr>
          <w:rStyle w:val="UnitHeading"/>
          <w:rFonts w:eastAsia="Times New Roman" w:cstheme="minorHAnsi"/>
          <w:color w:val="auto"/>
          <w:sz w:val="24"/>
          <w:szCs w:val="24"/>
        </w:rPr>
        <w:t>. The date was noted when the</w:t>
      </w:r>
      <w:r w:rsidRPr="00742D73">
        <w:rPr>
          <w:rStyle w:val="UnitHeading"/>
          <w:rFonts w:cstheme="minorHAnsi"/>
          <w:color w:val="auto"/>
          <w:sz w:val="24"/>
          <w:szCs w:val="24"/>
        </w:rPr>
        <w:t xml:space="preserve"> mulch area was entirely separated from the buried tuck with a rating of 5 (Table 1).</w:t>
      </w:r>
    </w:p>
    <w:p w14:paraId="757AD93E" w14:textId="6342B4D4" w:rsidR="00D434F1" w:rsidRDefault="00D434F1" w:rsidP="00D434F1">
      <w:pPr>
        <w:spacing w:before="240"/>
        <w:rPr>
          <w:rStyle w:val="UnitHeading"/>
          <w:rFonts w:cstheme="minorHAnsi"/>
          <w:b/>
          <w:bCs/>
          <w:color w:val="auto"/>
          <w:sz w:val="24"/>
          <w:szCs w:val="24"/>
        </w:rPr>
      </w:pPr>
      <w:r w:rsidRPr="00D434F1">
        <w:rPr>
          <w:rStyle w:val="UnitHeading"/>
          <w:rFonts w:cstheme="minorHAnsi"/>
          <w:b/>
          <w:bCs/>
          <w:color w:val="auto"/>
          <w:sz w:val="24"/>
          <w:szCs w:val="24"/>
        </w:rPr>
        <w:t>Results and Discussion</w:t>
      </w:r>
    </w:p>
    <w:p w14:paraId="1120070E" w14:textId="783F5A8C" w:rsidR="00D434F1" w:rsidRDefault="00D434F1" w:rsidP="00D434F1">
      <w:pPr>
        <w:spacing w:before="240"/>
        <w:rPr>
          <w:rStyle w:val="UnitHeading"/>
          <w:rFonts w:cstheme="minorHAnsi"/>
          <w:color w:val="auto"/>
          <w:sz w:val="24"/>
          <w:szCs w:val="24"/>
        </w:rPr>
      </w:pPr>
      <w:r>
        <w:rPr>
          <w:rStyle w:val="UnitHeading"/>
          <w:rFonts w:cstheme="minorHAnsi"/>
          <w:color w:val="auto"/>
          <w:sz w:val="24"/>
          <w:szCs w:val="24"/>
        </w:rPr>
        <w:t>Degradation:</w:t>
      </w:r>
    </w:p>
    <w:p w14:paraId="244469B6" w14:textId="6025A2A0" w:rsidR="003A5C0E" w:rsidRDefault="00D434F1" w:rsidP="00D434F1">
      <w:pPr>
        <w:spacing w:before="240"/>
        <w:rPr>
          <w:rStyle w:val="UnitHeading"/>
          <w:rFonts w:cstheme="minorHAnsi"/>
          <w:color w:val="auto"/>
          <w:sz w:val="24"/>
          <w:szCs w:val="24"/>
        </w:rPr>
      </w:pPr>
      <w:r>
        <w:rPr>
          <w:rStyle w:val="UnitHeading"/>
          <w:rFonts w:cstheme="minorHAnsi"/>
          <w:color w:val="auto"/>
          <w:sz w:val="24"/>
          <w:szCs w:val="24"/>
        </w:rPr>
        <w:t>The standard polyethylene mulch treatment showed no degradation during the period of time ratings were taken</w:t>
      </w:r>
      <w:r w:rsidR="000114F5">
        <w:rPr>
          <w:rStyle w:val="UnitHeading"/>
          <w:rFonts w:cstheme="minorHAnsi"/>
          <w:color w:val="auto"/>
          <w:sz w:val="24"/>
          <w:szCs w:val="24"/>
        </w:rPr>
        <w:t>, through May 12</w:t>
      </w:r>
      <w:r>
        <w:rPr>
          <w:rStyle w:val="UnitHeading"/>
          <w:rFonts w:cstheme="minorHAnsi"/>
          <w:color w:val="auto"/>
          <w:sz w:val="24"/>
          <w:szCs w:val="24"/>
        </w:rPr>
        <w:t>. The biodegradable mulch treatment, Bio360, showed no signs of degradation until April 28</w:t>
      </w:r>
      <w:r w:rsidR="000114F5">
        <w:rPr>
          <w:rStyle w:val="UnitHeading"/>
          <w:rFonts w:cstheme="minorHAnsi"/>
          <w:color w:val="auto"/>
          <w:sz w:val="24"/>
          <w:szCs w:val="24"/>
        </w:rPr>
        <w:t xml:space="preserve"> (35 days after mulch application). Slight degradation was detected in Bio360 on April 28 and May 12. Gen 1 paper mulch </w:t>
      </w:r>
      <w:r w:rsidR="00C71DB4">
        <w:rPr>
          <w:rStyle w:val="UnitHeading"/>
          <w:rFonts w:cstheme="minorHAnsi"/>
          <w:color w:val="auto"/>
          <w:sz w:val="24"/>
          <w:szCs w:val="24"/>
        </w:rPr>
        <w:t xml:space="preserve">began degradation along the buried tuck within the first 14 days after application and by April 14, 21 days after application, all plots showed full degradation at the buried tuck line. Gen 2 and Gen 3 showed minor signs of initial degradation, mostly softening of the paper, on April 14 and 21, but all plots remained intact through April 21. On April 28, Gen 3 showed significant degradation with nearly all plots having major degradation along the buried tuck, but also tearing along the bed top, resulting in complete exposure of the beds. By May 12, both Gen </w:t>
      </w:r>
      <w:r w:rsidR="00C67A4A">
        <w:rPr>
          <w:rStyle w:val="UnitHeading"/>
          <w:rFonts w:cstheme="minorHAnsi"/>
          <w:color w:val="auto"/>
          <w:sz w:val="24"/>
          <w:szCs w:val="24"/>
        </w:rPr>
        <w:t>2</w:t>
      </w:r>
      <w:r w:rsidR="00C71DB4">
        <w:rPr>
          <w:rStyle w:val="UnitHeading"/>
          <w:rFonts w:cstheme="minorHAnsi"/>
          <w:color w:val="auto"/>
          <w:sz w:val="24"/>
          <w:szCs w:val="24"/>
        </w:rPr>
        <w:t xml:space="preserve"> and Gen </w:t>
      </w:r>
      <w:r w:rsidR="00C67A4A">
        <w:rPr>
          <w:rStyle w:val="UnitHeading"/>
          <w:rFonts w:cstheme="minorHAnsi"/>
          <w:color w:val="auto"/>
          <w:sz w:val="24"/>
          <w:szCs w:val="24"/>
        </w:rPr>
        <w:t>3</w:t>
      </w:r>
      <w:r w:rsidR="00C71DB4">
        <w:rPr>
          <w:rStyle w:val="UnitHeading"/>
          <w:rFonts w:cstheme="minorHAnsi"/>
          <w:color w:val="auto"/>
          <w:sz w:val="24"/>
          <w:szCs w:val="24"/>
        </w:rPr>
        <w:t xml:space="preserve"> had complete degradation along the buried tuck and along the bed top. </w:t>
      </w:r>
      <w:r w:rsidR="00C67A4A">
        <w:rPr>
          <w:rStyle w:val="UnitHeading"/>
          <w:rFonts w:cstheme="minorHAnsi"/>
          <w:color w:val="auto"/>
          <w:sz w:val="24"/>
          <w:szCs w:val="24"/>
        </w:rPr>
        <w:t xml:space="preserve">The paper mulches, Gen 2 and Gen 3, were applied with the coating side up. As the season progressed, it was noticed the paper portion of Gen 2 and Gen 3 began to be degraded under the coated layer. As the degradation of the paper became advanced, the clear coating remained intact. This created a critical set of factors whereby the clear coating layer without the paper served as a “clear layer” covering the bed, allowing weed growth under the mulch layer. Weed populations were very high and growth was accelerated with the high soil temperature created under the clear coating layer in Gen 2 and Gen 3. Ultimately, the weed growth “pushed” up on the clear coating layer until the coating tore on top of the bed or gave way along the buried tuck. In a </w:t>
      </w:r>
      <w:r w:rsidR="00535936">
        <w:rPr>
          <w:rStyle w:val="UnitHeading"/>
          <w:rFonts w:cstheme="minorHAnsi"/>
          <w:color w:val="auto"/>
          <w:sz w:val="24"/>
          <w:szCs w:val="24"/>
        </w:rPr>
        <w:t xml:space="preserve">traditional situation of mulch materials, the sun-blocking coatings, or the black color of the polyethylene, prevent sunlight from penetrating to the soil covered by the mulch. This reduces or prevents weed growth (other than at the plant hole) under the mulch layer. However, clear polyethylene mulches allow (and encourage) weed growth if herbicides are not used under the clear mulch. This is basically what happened in Gen 2 and Gen 3 in this trial. When the paper layer was intact, no sunlight was allowed through during the first 2-3 weeks after application. But, as the paper in contact with the moist soil layer, under the coating layer, was degraded </w:t>
      </w:r>
      <w:r w:rsidR="00535936">
        <w:rPr>
          <w:rStyle w:val="UnitHeading"/>
          <w:rFonts w:cstheme="minorHAnsi"/>
          <w:color w:val="auto"/>
          <w:sz w:val="24"/>
          <w:szCs w:val="24"/>
        </w:rPr>
        <w:lastRenderedPageBreak/>
        <w:t>(biodegradation), sunlight began to penetrate through and eventually the sunlight was blocked very little. Approxim</w:t>
      </w:r>
      <w:r w:rsidR="003A5C0E">
        <w:rPr>
          <w:rStyle w:val="UnitHeading"/>
          <w:rFonts w:cstheme="minorHAnsi"/>
          <w:color w:val="auto"/>
          <w:sz w:val="24"/>
          <w:szCs w:val="24"/>
        </w:rPr>
        <w:t>ately 4-5 weeks after application, Gen 2 and Gen 3 had reached a point where weed growth under the mulch layer dictated ultimate result of breaking integrity. The trial was terminated on May 12 due to the complete loss of integrity of the three paper mulches.</w:t>
      </w:r>
    </w:p>
    <w:p w14:paraId="1EDCAAF8" w14:textId="77777777" w:rsidR="005613A6" w:rsidRPr="00D434F1" w:rsidRDefault="005613A6" w:rsidP="00D434F1">
      <w:pPr>
        <w:spacing w:before="240"/>
        <w:rPr>
          <w:rStyle w:val="UnitHeading"/>
          <w:rFonts w:cstheme="minorHAnsi"/>
          <w:color w:val="auto"/>
          <w:sz w:val="24"/>
          <w:szCs w:val="24"/>
        </w:rPr>
      </w:pPr>
    </w:p>
    <w:p w14:paraId="07AABFC1" w14:textId="24049DC7" w:rsidR="00D04E5C" w:rsidRPr="005613A6" w:rsidRDefault="005613A6" w:rsidP="005613A6">
      <w:pPr>
        <w:spacing w:before="240"/>
        <w:rPr>
          <w:rFonts w:cstheme="minorHAnsi"/>
          <w:sz w:val="24"/>
          <w:szCs w:val="24"/>
        </w:rPr>
      </w:pPr>
      <w:r w:rsidRPr="005613A6">
        <w:rPr>
          <w:rFonts w:cstheme="minorHAnsi"/>
          <w:sz w:val="24"/>
          <w:szCs w:val="24"/>
        </w:rPr>
        <w:t xml:space="preserve">Table 1. </w:t>
      </w:r>
      <w:r>
        <w:rPr>
          <w:rFonts w:cstheme="minorHAnsi"/>
          <w:sz w:val="24"/>
          <w:szCs w:val="24"/>
        </w:rPr>
        <w:t>Degradation rating scale and description.</w:t>
      </w:r>
    </w:p>
    <w:tbl>
      <w:tblPr>
        <w:tblStyle w:val="TableGrid"/>
        <w:tblW w:w="0" w:type="auto"/>
        <w:tblLook w:val="04A0" w:firstRow="1" w:lastRow="0" w:firstColumn="1" w:lastColumn="0" w:noHBand="0" w:noVBand="1"/>
      </w:tblPr>
      <w:tblGrid>
        <w:gridCol w:w="9350"/>
      </w:tblGrid>
      <w:tr w:rsidR="00D04E5C" w:rsidRPr="00742D73" w14:paraId="6A8AA56C" w14:textId="77777777" w:rsidTr="005D6CE7">
        <w:tc>
          <w:tcPr>
            <w:tcW w:w="9350" w:type="dxa"/>
          </w:tcPr>
          <w:tbl>
            <w:tblPr>
              <w:tblW w:w="9350" w:type="dxa"/>
              <w:tblLook w:val="04A0" w:firstRow="1" w:lastRow="0" w:firstColumn="1" w:lastColumn="0" w:noHBand="0" w:noVBand="1"/>
            </w:tblPr>
            <w:tblGrid>
              <w:gridCol w:w="914"/>
              <w:gridCol w:w="6835"/>
              <w:gridCol w:w="275"/>
              <w:gridCol w:w="275"/>
              <w:gridCol w:w="275"/>
              <w:gridCol w:w="275"/>
              <w:gridCol w:w="275"/>
            </w:tblGrid>
            <w:tr w:rsidR="00D04E5C" w:rsidRPr="00742D73" w14:paraId="36376649" w14:textId="77777777" w:rsidTr="005D6CE7">
              <w:trPr>
                <w:trHeight w:val="315"/>
              </w:trPr>
              <w:tc>
                <w:tcPr>
                  <w:tcW w:w="934"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20B2C321" w14:textId="77777777" w:rsidR="00D04E5C" w:rsidRPr="00742D73" w:rsidRDefault="00D04E5C" w:rsidP="005D6CE7">
                  <w:pPr>
                    <w:spacing w:after="0" w:line="240" w:lineRule="auto"/>
                    <w:rPr>
                      <w:rFonts w:eastAsia="Times New Roman" w:cstheme="minorHAnsi"/>
                      <w:b/>
                      <w:bCs/>
                      <w:color w:val="000000"/>
                      <w:sz w:val="24"/>
                      <w:szCs w:val="24"/>
                    </w:rPr>
                  </w:pPr>
                  <w:r w:rsidRPr="00742D73">
                    <w:rPr>
                      <w:rFonts w:eastAsia="Times New Roman" w:cstheme="minorHAnsi"/>
                      <w:b/>
                      <w:bCs/>
                      <w:color w:val="000000"/>
                      <w:sz w:val="24"/>
                      <w:szCs w:val="24"/>
                    </w:rPr>
                    <w:t>Rating</w:t>
                  </w:r>
                </w:p>
              </w:tc>
              <w:tc>
                <w:tcPr>
                  <w:tcW w:w="8416" w:type="dxa"/>
                  <w:gridSpan w:val="6"/>
                  <w:tcBorders>
                    <w:top w:val="single" w:sz="4" w:space="0" w:color="auto"/>
                    <w:left w:val="nil"/>
                    <w:bottom w:val="single" w:sz="8" w:space="0" w:color="auto"/>
                    <w:right w:val="single" w:sz="4" w:space="0" w:color="000000"/>
                  </w:tcBorders>
                  <w:shd w:val="clear" w:color="auto" w:fill="auto"/>
                  <w:noWrap/>
                  <w:vAlign w:val="bottom"/>
                  <w:hideMark/>
                </w:tcPr>
                <w:p w14:paraId="04F49651" w14:textId="77777777" w:rsidR="00D04E5C" w:rsidRPr="00742D73" w:rsidRDefault="00D04E5C" w:rsidP="005D6CE7">
                  <w:pPr>
                    <w:spacing w:after="0" w:line="240" w:lineRule="auto"/>
                    <w:jc w:val="center"/>
                    <w:rPr>
                      <w:rFonts w:eastAsia="Times New Roman" w:cstheme="minorHAnsi"/>
                      <w:b/>
                      <w:bCs/>
                      <w:color w:val="000000"/>
                      <w:sz w:val="24"/>
                      <w:szCs w:val="24"/>
                    </w:rPr>
                  </w:pPr>
                  <w:r w:rsidRPr="00742D73">
                    <w:rPr>
                      <w:rFonts w:eastAsia="Times New Roman" w:cstheme="minorHAnsi"/>
                      <w:b/>
                      <w:bCs/>
                      <w:color w:val="000000"/>
                      <w:sz w:val="24"/>
                      <w:szCs w:val="24"/>
                    </w:rPr>
                    <w:t>Degradation Rating Scale</w:t>
                  </w:r>
                </w:p>
              </w:tc>
            </w:tr>
            <w:tr w:rsidR="00D04E5C" w:rsidRPr="00742D73" w14:paraId="4B45A300" w14:textId="77777777" w:rsidTr="005D6CE7">
              <w:trPr>
                <w:trHeight w:val="300"/>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065BD597" w14:textId="77777777" w:rsidR="00D04E5C" w:rsidRPr="00742D73" w:rsidRDefault="00D04E5C" w:rsidP="005D6CE7">
                  <w:pPr>
                    <w:spacing w:after="0" w:line="240" w:lineRule="auto"/>
                    <w:jc w:val="center"/>
                    <w:rPr>
                      <w:rFonts w:eastAsia="Times New Roman" w:cstheme="minorHAnsi"/>
                      <w:color w:val="000000"/>
                      <w:sz w:val="24"/>
                      <w:szCs w:val="24"/>
                    </w:rPr>
                  </w:pPr>
                  <w:r w:rsidRPr="00742D73">
                    <w:rPr>
                      <w:rFonts w:eastAsia="Times New Roman" w:cstheme="minorHAnsi"/>
                      <w:color w:val="000000"/>
                      <w:sz w:val="24"/>
                      <w:szCs w:val="24"/>
                    </w:rPr>
                    <w:t>1</w:t>
                  </w:r>
                </w:p>
              </w:tc>
              <w:tc>
                <w:tcPr>
                  <w:tcW w:w="7031" w:type="dxa"/>
                  <w:tcBorders>
                    <w:top w:val="nil"/>
                    <w:left w:val="single" w:sz="4" w:space="0" w:color="auto"/>
                    <w:bottom w:val="single" w:sz="4" w:space="0" w:color="auto"/>
                    <w:right w:val="nil"/>
                  </w:tcBorders>
                  <w:shd w:val="clear" w:color="auto" w:fill="auto"/>
                  <w:noWrap/>
                  <w:vAlign w:val="bottom"/>
                  <w:hideMark/>
                </w:tcPr>
                <w:p w14:paraId="0C1DB7E2" w14:textId="77777777" w:rsidR="00D04E5C" w:rsidRPr="00742D73" w:rsidRDefault="00D04E5C" w:rsidP="005D6CE7">
                  <w:pPr>
                    <w:spacing w:after="0" w:line="240" w:lineRule="auto"/>
                    <w:rPr>
                      <w:rFonts w:eastAsia="Times New Roman" w:cstheme="minorHAnsi"/>
                      <w:color w:val="000000"/>
                      <w:sz w:val="24"/>
                      <w:szCs w:val="24"/>
                    </w:rPr>
                  </w:pPr>
                  <w:r w:rsidRPr="00742D73">
                    <w:rPr>
                      <w:rFonts w:eastAsia="Times New Roman" w:cstheme="minorHAnsi"/>
                      <w:color w:val="000000"/>
                      <w:sz w:val="24"/>
                      <w:szCs w:val="24"/>
                    </w:rPr>
                    <w:t>No visible degradation</w:t>
                  </w:r>
                </w:p>
              </w:tc>
              <w:tc>
                <w:tcPr>
                  <w:tcW w:w="277" w:type="dxa"/>
                  <w:tcBorders>
                    <w:top w:val="nil"/>
                    <w:left w:val="nil"/>
                    <w:bottom w:val="single" w:sz="4" w:space="0" w:color="auto"/>
                    <w:right w:val="nil"/>
                  </w:tcBorders>
                  <w:shd w:val="clear" w:color="auto" w:fill="auto"/>
                  <w:noWrap/>
                  <w:vAlign w:val="bottom"/>
                  <w:hideMark/>
                </w:tcPr>
                <w:p w14:paraId="6B240B27" w14:textId="77777777" w:rsidR="00D04E5C" w:rsidRPr="00742D73" w:rsidRDefault="00D04E5C" w:rsidP="005D6CE7">
                  <w:pPr>
                    <w:spacing w:after="0" w:line="240" w:lineRule="auto"/>
                    <w:rPr>
                      <w:rFonts w:eastAsia="Times New Roman" w:cstheme="minorHAnsi"/>
                      <w:color w:val="000000"/>
                      <w:sz w:val="24"/>
                      <w:szCs w:val="24"/>
                    </w:rPr>
                  </w:pPr>
                  <w:r w:rsidRPr="00742D73">
                    <w:rPr>
                      <w:rFonts w:eastAsia="Times New Roman" w:cstheme="minorHAnsi"/>
                      <w:color w:val="000000"/>
                      <w:sz w:val="24"/>
                      <w:szCs w:val="24"/>
                    </w:rPr>
                    <w:t> </w:t>
                  </w:r>
                </w:p>
              </w:tc>
              <w:tc>
                <w:tcPr>
                  <w:tcW w:w="277" w:type="dxa"/>
                  <w:tcBorders>
                    <w:top w:val="nil"/>
                    <w:left w:val="nil"/>
                    <w:bottom w:val="single" w:sz="4" w:space="0" w:color="auto"/>
                    <w:right w:val="nil"/>
                  </w:tcBorders>
                  <w:shd w:val="clear" w:color="auto" w:fill="auto"/>
                  <w:noWrap/>
                  <w:vAlign w:val="bottom"/>
                  <w:hideMark/>
                </w:tcPr>
                <w:p w14:paraId="60CCBDE5" w14:textId="77777777" w:rsidR="00D04E5C" w:rsidRPr="00742D73" w:rsidRDefault="00D04E5C" w:rsidP="005D6CE7">
                  <w:pPr>
                    <w:spacing w:after="0" w:line="240" w:lineRule="auto"/>
                    <w:rPr>
                      <w:rFonts w:eastAsia="Times New Roman" w:cstheme="minorHAnsi"/>
                      <w:color w:val="000000"/>
                      <w:sz w:val="24"/>
                      <w:szCs w:val="24"/>
                    </w:rPr>
                  </w:pPr>
                  <w:r w:rsidRPr="00742D73">
                    <w:rPr>
                      <w:rFonts w:eastAsia="Times New Roman" w:cstheme="minorHAnsi"/>
                      <w:color w:val="000000"/>
                      <w:sz w:val="24"/>
                      <w:szCs w:val="24"/>
                    </w:rPr>
                    <w:t> </w:t>
                  </w:r>
                </w:p>
              </w:tc>
              <w:tc>
                <w:tcPr>
                  <w:tcW w:w="277" w:type="dxa"/>
                  <w:tcBorders>
                    <w:top w:val="nil"/>
                    <w:left w:val="nil"/>
                    <w:bottom w:val="single" w:sz="4" w:space="0" w:color="auto"/>
                    <w:right w:val="nil"/>
                  </w:tcBorders>
                  <w:shd w:val="clear" w:color="auto" w:fill="auto"/>
                  <w:noWrap/>
                  <w:vAlign w:val="bottom"/>
                  <w:hideMark/>
                </w:tcPr>
                <w:p w14:paraId="299DD53B" w14:textId="77777777" w:rsidR="00D04E5C" w:rsidRPr="00742D73" w:rsidRDefault="00D04E5C" w:rsidP="005D6CE7">
                  <w:pPr>
                    <w:spacing w:after="0" w:line="240" w:lineRule="auto"/>
                    <w:rPr>
                      <w:rFonts w:eastAsia="Times New Roman" w:cstheme="minorHAnsi"/>
                      <w:color w:val="000000"/>
                      <w:sz w:val="24"/>
                      <w:szCs w:val="24"/>
                    </w:rPr>
                  </w:pPr>
                  <w:r w:rsidRPr="00742D73">
                    <w:rPr>
                      <w:rFonts w:eastAsia="Times New Roman" w:cstheme="minorHAnsi"/>
                      <w:color w:val="000000"/>
                      <w:sz w:val="24"/>
                      <w:szCs w:val="24"/>
                    </w:rPr>
                    <w:t> </w:t>
                  </w:r>
                </w:p>
              </w:tc>
              <w:tc>
                <w:tcPr>
                  <w:tcW w:w="277" w:type="dxa"/>
                  <w:tcBorders>
                    <w:top w:val="nil"/>
                    <w:left w:val="nil"/>
                    <w:bottom w:val="single" w:sz="4" w:space="0" w:color="auto"/>
                    <w:right w:val="nil"/>
                  </w:tcBorders>
                  <w:shd w:val="clear" w:color="auto" w:fill="auto"/>
                  <w:noWrap/>
                  <w:vAlign w:val="bottom"/>
                  <w:hideMark/>
                </w:tcPr>
                <w:p w14:paraId="270A0683" w14:textId="77777777" w:rsidR="00D04E5C" w:rsidRPr="00742D73" w:rsidRDefault="00D04E5C" w:rsidP="005D6CE7">
                  <w:pPr>
                    <w:spacing w:after="0" w:line="240" w:lineRule="auto"/>
                    <w:rPr>
                      <w:rFonts w:eastAsia="Times New Roman" w:cstheme="minorHAnsi"/>
                      <w:color w:val="000000"/>
                      <w:sz w:val="24"/>
                      <w:szCs w:val="24"/>
                    </w:rPr>
                  </w:pPr>
                  <w:r w:rsidRPr="00742D73">
                    <w:rPr>
                      <w:rFonts w:eastAsia="Times New Roman" w:cstheme="minorHAnsi"/>
                      <w:color w:val="000000"/>
                      <w:sz w:val="24"/>
                      <w:szCs w:val="24"/>
                    </w:rPr>
                    <w:t> </w:t>
                  </w:r>
                </w:p>
              </w:tc>
              <w:tc>
                <w:tcPr>
                  <w:tcW w:w="277" w:type="dxa"/>
                  <w:tcBorders>
                    <w:top w:val="nil"/>
                    <w:left w:val="nil"/>
                    <w:bottom w:val="single" w:sz="4" w:space="0" w:color="auto"/>
                    <w:right w:val="single" w:sz="4" w:space="0" w:color="auto"/>
                  </w:tcBorders>
                  <w:shd w:val="clear" w:color="auto" w:fill="auto"/>
                  <w:noWrap/>
                  <w:vAlign w:val="bottom"/>
                  <w:hideMark/>
                </w:tcPr>
                <w:p w14:paraId="46A88D68" w14:textId="77777777" w:rsidR="00D04E5C" w:rsidRPr="00742D73" w:rsidRDefault="00D04E5C" w:rsidP="005D6CE7">
                  <w:pPr>
                    <w:spacing w:after="0" w:line="240" w:lineRule="auto"/>
                    <w:rPr>
                      <w:rFonts w:eastAsia="Times New Roman" w:cstheme="minorHAnsi"/>
                      <w:color w:val="000000"/>
                      <w:sz w:val="24"/>
                      <w:szCs w:val="24"/>
                    </w:rPr>
                  </w:pPr>
                  <w:r w:rsidRPr="00742D73">
                    <w:rPr>
                      <w:rFonts w:eastAsia="Times New Roman" w:cstheme="minorHAnsi"/>
                      <w:color w:val="000000"/>
                      <w:sz w:val="24"/>
                      <w:szCs w:val="24"/>
                    </w:rPr>
                    <w:t> </w:t>
                  </w:r>
                </w:p>
              </w:tc>
            </w:tr>
            <w:tr w:rsidR="00D04E5C" w:rsidRPr="00742D73" w14:paraId="51E4BA7E" w14:textId="77777777" w:rsidTr="005D6CE7">
              <w:trPr>
                <w:trHeight w:val="300"/>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498B1722" w14:textId="77777777" w:rsidR="00D04E5C" w:rsidRPr="00742D73" w:rsidRDefault="00D04E5C" w:rsidP="005D6CE7">
                  <w:pPr>
                    <w:spacing w:after="0" w:line="240" w:lineRule="auto"/>
                    <w:jc w:val="center"/>
                    <w:rPr>
                      <w:rFonts w:eastAsia="Times New Roman" w:cstheme="minorHAnsi"/>
                      <w:color w:val="000000"/>
                      <w:sz w:val="24"/>
                      <w:szCs w:val="24"/>
                    </w:rPr>
                  </w:pPr>
                  <w:r w:rsidRPr="00742D73">
                    <w:rPr>
                      <w:rFonts w:eastAsia="Times New Roman" w:cstheme="minorHAnsi"/>
                      <w:color w:val="000000"/>
                      <w:sz w:val="24"/>
                      <w:szCs w:val="24"/>
                    </w:rPr>
                    <w:t>2</w:t>
                  </w:r>
                </w:p>
              </w:tc>
              <w:tc>
                <w:tcPr>
                  <w:tcW w:w="7308" w:type="dxa"/>
                  <w:gridSpan w:val="2"/>
                  <w:tcBorders>
                    <w:top w:val="single" w:sz="4" w:space="0" w:color="auto"/>
                    <w:left w:val="single" w:sz="4" w:space="0" w:color="auto"/>
                    <w:bottom w:val="single" w:sz="4" w:space="0" w:color="auto"/>
                    <w:right w:val="nil"/>
                  </w:tcBorders>
                  <w:shd w:val="clear" w:color="auto" w:fill="auto"/>
                  <w:noWrap/>
                  <w:vAlign w:val="bottom"/>
                  <w:hideMark/>
                </w:tcPr>
                <w:p w14:paraId="78034EE9" w14:textId="77777777" w:rsidR="00D04E5C" w:rsidRPr="00742D73" w:rsidRDefault="00D04E5C" w:rsidP="005D6CE7">
                  <w:pPr>
                    <w:spacing w:after="0" w:line="240" w:lineRule="auto"/>
                    <w:rPr>
                      <w:rFonts w:eastAsia="Times New Roman" w:cstheme="minorHAnsi"/>
                      <w:color w:val="000000"/>
                      <w:sz w:val="24"/>
                      <w:szCs w:val="24"/>
                    </w:rPr>
                  </w:pPr>
                  <w:r w:rsidRPr="00742D73">
                    <w:rPr>
                      <w:rFonts w:eastAsia="Times New Roman" w:cstheme="minorHAnsi"/>
                      <w:color w:val="000000"/>
                      <w:sz w:val="24"/>
                      <w:szCs w:val="24"/>
                    </w:rPr>
                    <w:t>Mulch beginning to soften but intact</w:t>
                  </w:r>
                </w:p>
              </w:tc>
              <w:tc>
                <w:tcPr>
                  <w:tcW w:w="277" w:type="dxa"/>
                  <w:tcBorders>
                    <w:top w:val="nil"/>
                    <w:left w:val="nil"/>
                    <w:bottom w:val="single" w:sz="4" w:space="0" w:color="auto"/>
                    <w:right w:val="nil"/>
                  </w:tcBorders>
                  <w:shd w:val="clear" w:color="auto" w:fill="auto"/>
                  <w:noWrap/>
                  <w:vAlign w:val="bottom"/>
                  <w:hideMark/>
                </w:tcPr>
                <w:p w14:paraId="31F73F80" w14:textId="77777777" w:rsidR="00D04E5C" w:rsidRPr="00742D73" w:rsidRDefault="00D04E5C" w:rsidP="005D6CE7">
                  <w:pPr>
                    <w:spacing w:after="0" w:line="240" w:lineRule="auto"/>
                    <w:rPr>
                      <w:rFonts w:eastAsia="Times New Roman" w:cstheme="minorHAnsi"/>
                      <w:color w:val="000000"/>
                      <w:sz w:val="24"/>
                      <w:szCs w:val="24"/>
                    </w:rPr>
                  </w:pPr>
                  <w:r w:rsidRPr="00742D73">
                    <w:rPr>
                      <w:rFonts w:eastAsia="Times New Roman" w:cstheme="minorHAnsi"/>
                      <w:color w:val="000000"/>
                      <w:sz w:val="24"/>
                      <w:szCs w:val="24"/>
                    </w:rPr>
                    <w:t> </w:t>
                  </w:r>
                </w:p>
              </w:tc>
              <w:tc>
                <w:tcPr>
                  <w:tcW w:w="277" w:type="dxa"/>
                  <w:tcBorders>
                    <w:top w:val="nil"/>
                    <w:left w:val="nil"/>
                    <w:bottom w:val="single" w:sz="4" w:space="0" w:color="auto"/>
                    <w:right w:val="nil"/>
                  </w:tcBorders>
                  <w:shd w:val="clear" w:color="auto" w:fill="auto"/>
                  <w:noWrap/>
                  <w:vAlign w:val="bottom"/>
                  <w:hideMark/>
                </w:tcPr>
                <w:p w14:paraId="754BD8E7" w14:textId="77777777" w:rsidR="00D04E5C" w:rsidRPr="00742D73" w:rsidRDefault="00D04E5C" w:rsidP="005D6CE7">
                  <w:pPr>
                    <w:spacing w:after="0" w:line="240" w:lineRule="auto"/>
                    <w:rPr>
                      <w:rFonts w:eastAsia="Times New Roman" w:cstheme="minorHAnsi"/>
                      <w:color w:val="000000"/>
                      <w:sz w:val="24"/>
                      <w:szCs w:val="24"/>
                    </w:rPr>
                  </w:pPr>
                  <w:r w:rsidRPr="00742D73">
                    <w:rPr>
                      <w:rFonts w:eastAsia="Times New Roman" w:cstheme="minorHAnsi"/>
                      <w:color w:val="000000"/>
                      <w:sz w:val="24"/>
                      <w:szCs w:val="24"/>
                    </w:rPr>
                    <w:t> </w:t>
                  </w:r>
                </w:p>
              </w:tc>
              <w:tc>
                <w:tcPr>
                  <w:tcW w:w="277" w:type="dxa"/>
                  <w:tcBorders>
                    <w:top w:val="nil"/>
                    <w:left w:val="nil"/>
                    <w:bottom w:val="single" w:sz="4" w:space="0" w:color="auto"/>
                    <w:right w:val="nil"/>
                  </w:tcBorders>
                  <w:shd w:val="clear" w:color="auto" w:fill="auto"/>
                  <w:noWrap/>
                  <w:vAlign w:val="bottom"/>
                  <w:hideMark/>
                </w:tcPr>
                <w:p w14:paraId="79CD1A17" w14:textId="77777777" w:rsidR="00D04E5C" w:rsidRPr="00742D73" w:rsidRDefault="00D04E5C" w:rsidP="005D6CE7">
                  <w:pPr>
                    <w:spacing w:after="0" w:line="240" w:lineRule="auto"/>
                    <w:rPr>
                      <w:rFonts w:eastAsia="Times New Roman" w:cstheme="minorHAnsi"/>
                      <w:color w:val="000000"/>
                      <w:sz w:val="24"/>
                      <w:szCs w:val="24"/>
                    </w:rPr>
                  </w:pPr>
                  <w:r w:rsidRPr="00742D73">
                    <w:rPr>
                      <w:rFonts w:eastAsia="Times New Roman" w:cstheme="minorHAnsi"/>
                      <w:color w:val="000000"/>
                      <w:sz w:val="24"/>
                      <w:szCs w:val="24"/>
                    </w:rPr>
                    <w:t> </w:t>
                  </w:r>
                </w:p>
              </w:tc>
              <w:tc>
                <w:tcPr>
                  <w:tcW w:w="277" w:type="dxa"/>
                  <w:tcBorders>
                    <w:top w:val="nil"/>
                    <w:left w:val="nil"/>
                    <w:bottom w:val="single" w:sz="4" w:space="0" w:color="auto"/>
                    <w:right w:val="single" w:sz="4" w:space="0" w:color="auto"/>
                  </w:tcBorders>
                  <w:shd w:val="clear" w:color="auto" w:fill="auto"/>
                  <w:noWrap/>
                  <w:vAlign w:val="bottom"/>
                  <w:hideMark/>
                </w:tcPr>
                <w:p w14:paraId="4C6ECE14" w14:textId="77777777" w:rsidR="00D04E5C" w:rsidRPr="00742D73" w:rsidRDefault="00D04E5C" w:rsidP="005D6CE7">
                  <w:pPr>
                    <w:spacing w:after="0" w:line="240" w:lineRule="auto"/>
                    <w:rPr>
                      <w:rFonts w:eastAsia="Times New Roman" w:cstheme="minorHAnsi"/>
                      <w:color w:val="000000"/>
                      <w:sz w:val="24"/>
                      <w:szCs w:val="24"/>
                    </w:rPr>
                  </w:pPr>
                  <w:r w:rsidRPr="00742D73">
                    <w:rPr>
                      <w:rFonts w:eastAsia="Times New Roman" w:cstheme="minorHAnsi"/>
                      <w:color w:val="000000"/>
                      <w:sz w:val="24"/>
                      <w:szCs w:val="24"/>
                    </w:rPr>
                    <w:t> </w:t>
                  </w:r>
                </w:p>
              </w:tc>
            </w:tr>
            <w:tr w:rsidR="00D04E5C" w:rsidRPr="00742D73" w14:paraId="7ABB9EC7" w14:textId="77777777" w:rsidTr="005D6CE7">
              <w:trPr>
                <w:trHeight w:val="300"/>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4ED35CD3" w14:textId="77777777" w:rsidR="00D04E5C" w:rsidRPr="00742D73" w:rsidRDefault="00D04E5C" w:rsidP="005D6CE7">
                  <w:pPr>
                    <w:spacing w:after="0" w:line="240" w:lineRule="auto"/>
                    <w:jc w:val="center"/>
                    <w:rPr>
                      <w:rFonts w:eastAsia="Times New Roman" w:cstheme="minorHAnsi"/>
                      <w:color w:val="000000"/>
                      <w:sz w:val="24"/>
                      <w:szCs w:val="24"/>
                    </w:rPr>
                  </w:pPr>
                  <w:r w:rsidRPr="00742D73">
                    <w:rPr>
                      <w:rFonts w:eastAsia="Times New Roman" w:cstheme="minorHAnsi"/>
                      <w:color w:val="000000"/>
                      <w:sz w:val="24"/>
                      <w:szCs w:val="24"/>
                    </w:rPr>
                    <w:t>3</w:t>
                  </w:r>
                </w:p>
              </w:tc>
              <w:tc>
                <w:tcPr>
                  <w:tcW w:w="7862" w:type="dxa"/>
                  <w:gridSpan w:val="4"/>
                  <w:tcBorders>
                    <w:top w:val="single" w:sz="4" w:space="0" w:color="auto"/>
                    <w:left w:val="single" w:sz="4" w:space="0" w:color="auto"/>
                    <w:bottom w:val="single" w:sz="4" w:space="0" w:color="auto"/>
                    <w:right w:val="nil"/>
                  </w:tcBorders>
                  <w:shd w:val="clear" w:color="auto" w:fill="auto"/>
                  <w:noWrap/>
                  <w:vAlign w:val="bottom"/>
                  <w:hideMark/>
                </w:tcPr>
                <w:p w14:paraId="1D9CD775" w14:textId="77777777" w:rsidR="00D04E5C" w:rsidRPr="00742D73" w:rsidRDefault="00D04E5C" w:rsidP="005D6CE7">
                  <w:pPr>
                    <w:spacing w:after="0" w:line="240" w:lineRule="auto"/>
                    <w:rPr>
                      <w:rFonts w:eastAsia="Times New Roman" w:cstheme="minorHAnsi"/>
                      <w:color w:val="000000"/>
                      <w:sz w:val="24"/>
                      <w:szCs w:val="24"/>
                    </w:rPr>
                  </w:pPr>
                  <w:r w:rsidRPr="00742D73">
                    <w:rPr>
                      <w:rFonts w:eastAsia="Times New Roman" w:cstheme="minorHAnsi"/>
                      <w:color w:val="000000"/>
                      <w:sz w:val="24"/>
                      <w:szCs w:val="24"/>
                    </w:rPr>
                    <w:t>Initial degradation visible with small holes or tears in mulch</w:t>
                  </w:r>
                </w:p>
              </w:tc>
              <w:tc>
                <w:tcPr>
                  <w:tcW w:w="277" w:type="dxa"/>
                  <w:tcBorders>
                    <w:top w:val="nil"/>
                    <w:left w:val="nil"/>
                    <w:bottom w:val="single" w:sz="4" w:space="0" w:color="auto"/>
                    <w:right w:val="nil"/>
                  </w:tcBorders>
                  <w:shd w:val="clear" w:color="auto" w:fill="auto"/>
                  <w:noWrap/>
                  <w:vAlign w:val="bottom"/>
                  <w:hideMark/>
                </w:tcPr>
                <w:p w14:paraId="25025DF3" w14:textId="77777777" w:rsidR="00D04E5C" w:rsidRPr="00742D73" w:rsidRDefault="00D04E5C" w:rsidP="005D6CE7">
                  <w:pPr>
                    <w:spacing w:after="0" w:line="240" w:lineRule="auto"/>
                    <w:rPr>
                      <w:rFonts w:eastAsia="Times New Roman" w:cstheme="minorHAnsi"/>
                      <w:color w:val="000000"/>
                      <w:sz w:val="24"/>
                      <w:szCs w:val="24"/>
                    </w:rPr>
                  </w:pPr>
                  <w:r w:rsidRPr="00742D73">
                    <w:rPr>
                      <w:rFonts w:eastAsia="Times New Roman" w:cstheme="minorHAnsi"/>
                      <w:color w:val="000000"/>
                      <w:sz w:val="24"/>
                      <w:szCs w:val="24"/>
                    </w:rPr>
                    <w:t> </w:t>
                  </w:r>
                </w:p>
              </w:tc>
              <w:tc>
                <w:tcPr>
                  <w:tcW w:w="277" w:type="dxa"/>
                  <w:tcBorders>
                    <w:top w:val="nil"/>
                    <w:left w:val="nil"/>
                    <w:bottom w:val="single" w:sz="4" w:space="0" w:color="auto"/>
                    <w:right w:val="single" w:sz="4" w:space="0" w:color="auto"/>
                  </w:tcBorders>
                  <w:shd w:val="clear" w:color="auto" w:fill="auto"/>
                  <w:noWrap/>
                  <w:vAlign w:val="bottom"/>
                  <w:hideMark/>
                </w:tcPr>
                <w:p w14:paraId="66DB00D3" w14:textId="77777777" w:rsidR="00D04E5C" w:rsidRPr="00742D73" w:rsidRDefault="00D04E5C" w:rsidP="005D6CE7">
                  <w:pPr>
                    <w:spacing w:after="0" w:line="240" w:lineRule="auto"/>
                    <w:rPr>
                      <w:rFonts w:eastAsia="Times New Roman" w:cstheme="minorHAnsi"/>
                      <w:color w:val="000000"/>
                      <w:sz w:val="24"/>
                      <w:szCs w:val="24"/>
                    </w:rPr>
                  </w:pPr>
                  <w:r w:rsidRPr="00742D73">
                    <w:rPr>
                      <w:rFonts w:eastAsia="Times New Roman" w:cstheme="minorHAnsi"/>
                      <w:color w:val="000000"/>
                      <w:sz w:val="24"/>
                      <w:szCs w:val="24"/>
                    </w:rPr>
                    <w:t> </w:t>
                  </w:r>
                </w:p>
              </w:tc>
            </w:tr>
            <w:tr w:rsidR="00D04E5C" w:rsidRPr="00742D73" w14:paraId="7F29FD8B" w14:textId="77777777" w:rsidTr="005D6CE7">
              <w:trPr>
                <w:trHeight w:val="300"/>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0AC7295D" w14:textId="77777777" w:rsidR="00D04E5C" w:rsidRPr="00742D73" w:rsidRDefault="00D04E5C" w:rsidP="005D6CE7">
                  <w:pPr>
                    <w:spacing w:after="0" w:line="240" w:lineRule="auto"/>
                    <w:jc w:val="center"/>
                    <w:rPr>
                      <w:rFonts w:eastAsia="Times New Roman" w:cstheme="minorHAnsi"/>
                      <w:color w:val="000000"/>
                      <w:sz w:val="24"/>
                      <w:szCs w:val="24"/>
                    </w:rPr>
                  </w:pPr>
                  <w:r w:rsidRPr="00742D73">
                    <w:rPr>
                      <w:rFonts w:eastAsia="Times New Roman" w:cstheme="minorHAnsi"/>
                      <w:color w:val="000000"/>
                      <w:sz w:val="24"/>
                      <w:szCs w:val="24"/>
                    </w:rPr>
                    <w:t>4</w:t>
                  </w:r>
                </w:p>
              </w:tc>
              <w:tc>
                <w:tcPr>
                  <w:tcW w:w="841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8A8C03" w14:textId="77777777" w:rsidR="00D04E5C" w:rsidRPr="00742D73" w:rsidRDefault="00D04E5C" w:rsidP="005D6CE7">
                  <w:pPr>
                    <w:spacing w:after="0" w:line="240" w:lineRule="auto"/>
                    <w:rPr>
                      <w:rFonts w:eastAsia="Times New Roman" w:cstheme="minorHAnsi"/>
                      <w:color w:val="000000"/>
                      <w:sz w:val="24"/>
                      <w:szCs w:val="24"/>
                    </w:rPr>
                  </w:pPr>
                  <w:r w:rsidRPr="00742D73">
                    <w:rPr>
                      <w:rFonts w:eastAsia="Times New Roman" w:cstheme="minorHAnsi"/>
                      <w:color w:val="000000"/>
                      <w:sz w:val="24"/>
                      <w:szCs w:val="24"/>
                    </w:rPr>
                    <w:t>Significant degradation, nearly 50% of tuck area degraded, some detachment of paper from tuck</w:t>
                  </w:r>
                </w:p>
              </w:tc>
            </w:tr>
            <w:tr w:rsidR="00D04E5C" w:rsidRPr="00742D73" w14:paraId="3D76CA3F" w14:textId="77777777" w:rsidTr="005D6CE7">
              <w:trPr>
                <w:trHeight w:val="300"/>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08F0AF04" w14:textId="77777777" w:rsidR="00D04E5C" w:rsidRPr="00742D73" w:rsidRDefault="00D04E5C" w:rsidP="005D6CE7">
                  <w:pPr>
                    <w:spacing w:after="0" w:line="240" w:lineRule="auto"/>
                    <w:jc w:val="center"/>
                    <w:rPr>
                      <w:rFonts w:eastAsia="Times New Roman" w:cstheme="minorHAnsi"/>
                      <w:color w:val="000000"/>
                      <w:sz w:val="24"/>
                      <w:szCs w:val="24"/>
                    </w:rPr>
                  </w:pPr>
                  <w:r w:rsidRPr="00742D73">
                    <w:rPr>
                      <w:rFonts w:eastAsia="Times New Roman" w:cstheme="minorHAnsi"/>
                      <w:color w:val="000000"/>
                      <w:sz w:val="24"/>
                      <w:szCs w:val="24"/>
                    </w:rPr>
                    <w:t>5</w:t>
                  </w:r>
                </w:p>
              </w:tc>
              <w:tc>
                <w:tcPr>
                  <w:tcW w:w="8139" w:type="dxa"/>
                  <w:gridSpan w:val="5"/>
                  <w:tcBorders>
                    <w:top w:val="single" w:sz="4" w:space="0" w:color="auto"/>
                    <w:left w:val="single" w:sz="4" w:space="0" w:color="auto"/>
                    <w:bottom w:val="single" w:sz="4" w:space="0" w:color="auto"/>
                    <w:right w:val="nil"/>
                  </w:tcBorders>
                  <w:shd w:val="clear" w:color="auto" w:fill="auto"/>
                  <w:noWrap/>
                  <w:vAlign w:val="bottom"/>
                  <w:hideMark/>
                </w:tcPr>
                <w:p w14:paraId="1476E720" w14:textId="77777777" w:rsidR="00D04E5C" w:rsidRPr="00742D73" w:rsidRDefault="00D04E5C" w:rsidP="005D6CE7">
                  <w:pPr>
                    <w:spacing w:after="0" w:line="240" w:lineRule="auto"/>
                    <w:rPr>
                      <w:rFonts w:eastAsia="Times New Roman" w:cstheme="minorHAnsi"/>
                      <w:color w:val="000000"/>
                      <w:sz w:val="24"/>
                      <w:szCs w:val="24"/>
                    </w:rPr>
                  </w:pPr>
                  <w:r w:rsidRPr="00742D73">
                    <w:rPr>
                      <w:rFonts w:eastAsia="Times New Roman" w:cstheme="minorHAnsi"/>
                      <w:color w:val="000000"/>
                      <w:sz w:val="24"/>
                      <w:szCs w:val="24"/>
                    </w:rPr>
                    <w:t>100% of buried tuck area degraded, paper detached at tuck area</w:t>
                  </w:r>
                </w:p>
              </w:tc>
              <w:tc>
                <w:tcPr>
                  <w:tcW w:w="277" w:type="dxa"/>
                  <w:tcBorders>
                    <w:top w:val="nil"/>
                    <w:left w:val="nil"/>
                    <w:bottom w:val="single" w:sz="4" w:space="0" w:color="auto"/>
                    <w:right w:val="single" w:sz="4" w:space="0" w:color="auto"/>
                  </w:tcBorders>
                  <w:shd w:val="clear" w:color="auto" w:fill="auto"/>
                  <w:noWrap/>
                  <w:vAlign w:val="bottom"/>
                  <w:hideMark/>
                </w:tcPr>
                <w:p w14:paraId="308D72B8" w14:textId="77777777" w:rsidR="00D04E5C" w:rsidRPr="00742D73" w:rsidRDefault="00D04E5C" w:rsidP="005D6CE7">
                  <w:pPr>
                    <w:spacing w:after="0" w:line="240" w:lineRule="auto"/>
                    <w:rPr>
                      <w:rFonts w:eastAsia="Times New Roman" w:cstheme="minorHAnsi"/>
                      <w:color w:val="000000"/>
                      <w:sz w:val="24"/>
                      <w:szCs w:val="24"/>
                    </w:rPr>
                  </w:pPr>
                  <w:r w:rsidRPr="00742D73">
                    <w:rPr>
                      <w:rFonts w:eastAsia="Times New Roman" w:cstheme="minorHAnsi"/>
                      <w:color w:val="000000"/>
                      <w:sz w:val="24"/>
                      <w:szCs w:val="24"/>
                    </w:rPr>
                    <w:t> </w:t>
                  </w:r>
                </w:p>
              </w:tc>
            </w:tr>
          </w:tbl>
          <w:p w14:paraId="11399EB8" w14:textId="77777777" w:rsidR="00D04E5C" w:rsidRPr="00742D73" w:rsidRDefault="00D04E5C" w:rsidP="005D6CE7">
            <w:pPr>
              <w:rPr>
                <w:rFonts w:cstheme="minorHAnsi"/>
                <w:sz w:val="24"/>
                <w:szCs w:val="24"/>
              </w:rPr>
            </w:pPr>
          </w:p>
        </w:tc>
      </w:tr>
    </w:tbl>
    <w:p w14:paraId="71ABD68B" w14:textId="77777777" w:rsidR="00D04E5C" w:rsidRPr="00742D73" w:rsidRDefault="00D04E5C" w:rsidP="00D04E5C">
      <w:pPr>
        <w:rPr>
          <w:rFonts w:cstheme="minorHAnsi"/>
          <w:sz w:val="24"/>
          <w:szCs w:val="24"/>
        </w:rPr>
      </w:pPr>
    </w:p>
    <w:p w14:paraId="70485768" w14:textId="4528F276" w:rsidR="00BC1332" w:rsidRDefault="00D434F1">
      <w:r w:rsidRPr="00D434F1">
        <w:rPr>
          <w:highlight w:val="yellow"/>
        </w:rPr>
        <w:t xml:space="preserve">Insert Tables and bar graphs </w:t>
      </w:r>
      <w:r w:rsidRPr="005613A6">
        <w:rPr>
          <w:highlight w:val="yellow"/>
        </w:rPr>
        <w:t>here</w:t>
      </w:r>
      <w:r w:rsidR="005613A6" w:rsidRPr="005613A6">
        <w:rPr>
          <w:highlight w:val="yellow"/>
        </w:rPr>
        <w:t xml:space="preserve"> with </w:t>
      </w:r>
      <w:r w:rsidR="00DC58EF">
        <w:rPr>
          <w:highlight w:val="yellow"/>
        </w:rPr>
        <w:t>t</w:t>
      </w:r>
      <w:r w:rsidR="005613A6" w:rsidRPr="005613A6">
        <w:rPr>
          <w:highlight w:val="yellow"/>
        </w:rPr>
        <w:t>itles above each table.</w:t>
      </w:r>
      <w:r w:rsidR="005613A6">
        <w:t xml:space="preserve"> </w:t>
      </w:r>
    </w:p>
    <w:p w14:paraId="2A10382C" w14:textId="7B8480C7" w:rsidR="000013A9" w:rsidRDefault="000013A9"/>
    <w:p w14:paraId="1A9266C9" w14:textId="7D7DF34D" w:rsidR="000013A9" w:rsidRDefault="000013A9"/>
    <w:p w14:paraId="63EBB959" w14:textId="65326638" w:rsidR="000013A9" w:rsidRDefault="000013A9"/>
    <w:p w14:paraId="598858D8" w14:textId="5EC542E3" w:rsidR="000013A9" w:rsidRDefault="000013A9"/>
    <w:p w14:paraId="50A3F84C" w14:textId="3D7962C9" w:rsidR="000013A9" w:rsidRDefault="000013A9"/>
    <w:p w14:paraId="74CF976D" w14:textId="5AF12BB4" w:rsidR="000013A9" w:rsidRDefault="000013A9"/>
    <w:p w14:paraId="71268303" w14:textId="6D7CF622" w:rsidR="000013A9" w:rsidRDefault="000013A9"/>
    <w:p w14:paraId="6DFB73DB" w14:textId="62987BFD" w:rsidR="000013A9" w:rsidRDefault="000013A9"/>
    <w:p w14:paraId="0ED97440" w14:textId="474D7ED6" w:rsidR="000013A9" w:rsidRDefault="000013A9"/>
    <w:p w14:paraId="0307AB71" w14:textId="5848BD68" w:rsidR="000013A9" w:rsidRDefault="000013A9"/>
    <w:p w14:paraId="799710D4" w14:textId="336D81E3" w:rsidR="000013A9" w:rsidRDefault="000013A9"/>
    <w:p w14:paraId="0B1CB876" w14:textId="67DD35EC" w:rsidR="000013A9" w:rsidRDefault="000013A9"/>
    <w:p w14:paraId="2C6A7B46" w14:textId="0C07EC6C" w:rsidR="000013A9" w:rsidRDefault="000013A9"/>
    <w:p w14:paraId="2705A35C" w14:textId="1E58B5C6" w:rsidR="000013A9" w:rsidRDefault="000013A9"/>
    <w:p w14:paraId="4C422CFE" w14:textId="21C4F1BA" w:rsidR="000013A9" w:rsidRDefault="000013A9"/>
    <w:p w14:paraId="1B7A442A" w14:textId="3C95BFB2" w:rsidR="000013A9" w:rsidRDefault="000013A9"/>
    <w:p w14:paraId="081A93BD" w14:textId="0B34C065" w:rsidR="000013A9" w:rsidRDefault="000013A9">
      <w:r>
        <w:t>Fig. 1 Gen 1 paper mulch application with Kennco Speed Layer.</w:t>
      </w:r>
    </w:p>
    <w:p w14:paraId="5E01EE9B" w14:textId="7B181D42" w:rsidR="001A7233" w:rsidRDefault="001A7233">
      <w:r>
        <w:rPr>
          <w:noProof/>
        </w:rPr>
        <w:drawing>
          <wp:inline distT="0" distB="0" distL="0" distR="0" wp14:anchorId="73E52A71" wp14:editId="655201E3">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67275CEB" w14:textId="6C248B98" w:rsidR="000013A9" w:rsidRDefault="000013A9"/>
    <w:p w14:paraId="510C3975" w14:textId="5D05256E" w:rsidR="000013A9" w:rsidRDefault="000013A9"/>
    <w:p w14:paraId="2979C454" w14:textId="3F6D9C6A" w:rsidR="000013A9" w:rsidRDefault="000013A9"/>
    <w:p w14:paraId="6B165670" w14:textId="52FEEEE9" w:rsidR="000013A9" w:rsidRDefault="000013A9"/>
    <w:p w14:paraId="192053F6" w14:textId="0841CCC0" w:rsidR="000013A9" w:rsidRDefault="000013A9"/>
    <w:p w14:paraId="5F58A70F" w14:textId="670DC4F6" w:rsidR="000013A9" w:rsidRDefault="000013A9"/>
    <w:p w14:paraId="1649FB65" w14:textId="01C59593" w:rsidR="000013A9" w:rsidRDefault="000013A9">
      <w:r>
        <w:lastRenderedPageBreak/>
        <w:t>Fig. 2 Completed much application for all 5 treatments.</w:t>
      </w:r>
    </w:p>
    <w:p w14:paraId="2E847B26" w14:textId="7AAFBCE0" w:rsidR="001A7233" w:rsidRDefault="001A7233">
      <w:r>
        <w:rPr>
          <w:noProof/>
        </w:rPr>
        <w:drawing>
          <wp:inline distT="0" distB="0" distL="0" distR="0" wp14:anchorId="53C3BDD9" wp14:editId="667391DD">
            <wp:extent cx="5943600" cy="4457700"/>
            <wp:effectExtent l="0" t="0" r="0" b="0"/>
            <wp:docPr id="4" name="Picture 4" descr="A picture containing sky, outdoor, track,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track, 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2EDC54D" w14:textId="1407CDD5" w:rsidR="001A7233" w:rsidRDefault="001A7233"/>
    <w:p w14:paraId="0A7020AA" w14:textId="0AA1D60B" w:rsidR="000013A9" w:rsidRDefault="000013A9"/>
    <w:p w14:paraId="7D9D0945" w14:textId="0C799724" w:rsidR="000013A9" w:rsidRDefault="000013A9"/>
    <w:p w14:paraId="2FA7EDB6" w14:textId="58572A58" w:rsidR="000013A9" w:rsidRDefault="000013A9"/>
    <w:p w14:paraId="230059E5" w14:textId="5F857D8E" w:rsidR="000013A9" w:rsidRDefault="000013A9"/>
    <w:p w14:paraId="1F2EA8D9" w14:textId="5C1054C3" w:rsidR="000013A9" w:rsidRDefault="000013A9"/>
    <w:p w14:paraId="7990A510" w14:textId="3D194A0D" w:rsidR="000013A9" w:rsidRDefault="000013A9"/>
    <w:p w14:paraId="0E3ABCA7" w14:textId="7E6403AB" w:rsidR="000013A9" w:rsidRDefault="000013A9"/>
    <w:p w14:paraId="5DEDAF61" w14:textId="026E0A9D" w:rsidR="000013A9" w:rsidRDefault="000013A9"/>
    <w:p w14:paraId="5299CB80" w14:textId="7120DC9E" w:rsidR="000013A9" w:rsidRDefault="000013A9"/>
    <w:p w14:paraId="14BC988E" w14:textId="22353C81" w:rsidR="000013A9" w:rsidRDefault="000013A9"/>
    <w:p w14:paraId="6F5EEE30" w14:textId="27E492A9" w:rsidR="000013A9" w:rsidRDefault="000013A9"/>
    <w:p w14:paraId="6F9752EB" w14:textId="35D8EBAC" w:rsidR="000013A9" w:rsidRDefault="000013A9">
      <w:r>
        <w:lastRenderedPageBreak/>
        <w:t>Fig. 3 Nutsedge population piercing through black Bio360 mulch (bed in the center).</w:t>
      </w:r>
    </w:p>
    <w:p w14:paraId="1616F0B5" w14:textId="4CA69863" w:rsidR="001A7233" w:rsidRDefault="001A7233">
      <w:r>
        <w:rPr>
          <w:noProof/>
        </w:rPr>
        <w:drawing>
          <wp:inline distT="0" distB="0" distL="0" distR="0" wp14:anchorId="0F565ED3" wp14:editId="7C6BBFB6">
            <wp:extent cx="5943600" cy="4457700"/>
            <wp:effectExtent l="0" t="0" r="0" b="0"/>
            <wp:docPr id="5" name="Picture 5"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2E30DDC4" w14:textId="5DD5F44F" w:rsidR="001A7233" w:rsidRDefault="001A7233"/>
    <w:p w14:paraId="740A57D5" w14:textId="4BD87E1D" w:rsidR="000013A9" w:rsidRDefault="000013A9"/>
    <w:p w14:paraId="4B6B0290" w14:textId="634E3AF5" w:rsidR="000013A9" w:rsidRDefault="000013A9"/>
    <w:p w14:paraId="4B38B161" w14:textId="58F9B10D" w:rsidR="000013A9" w:rsidRDefault="000013A9"/>
    <w:p w14:paraId="7E0A1F41" w14:textId="655DF127" w:rsidR="000013A9" w:rsidRDefault="000013A9"/>
    <w:p w14:paraId="5FF95EC6" w14:textId="7CB5CA90" w:rsidR="000013A9" w:rsidRDefault="000013A9"/>
    <w:p w14:paraId="6528E115" w14:textId="6C4FDCAF" w:rsidR="000013A9" w:rsidRDefault="000013A9"/>
    <w:p w14:paraId="40106122" w14:textId="17824154" w:rsidR="000013A9" w:rsidRDefault="000013A9">
      <w:r>
        <w:lastRenderedPageBreak/>
        <w:t>Fig. 4. Early season degradation of Gen 1 paper mulch.</w:t>
      </w:r>
    </w:p>
    <w:p w14:paraId="01609113" w14:textId="030982CC" w:rsidR="001A7233" w:rsidRDefault="001A7233">
      <w:r>
        <w:rPr>
          <w:noProof/>
        </w:rPr>
        <w:drawing>
          <wp:inline distT="0" distB="0" distL="0" distR="0" wp14:anchorId="7FDE7CF3" wp14:editId="0E4A77D4">
            <wp:extent cx="5943600" cy="4457700"/>
            <wp:effectExtent l="0" t="0" r="0" b="0"/>
            <wp:docPr id="6" name="Picture 6"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ound, out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1EEB8415" w14:textId="7B10E81D" w:rsidR="001A7233" w:rsidRDefault="001A7233"/>
    <w:p w14:paraId="52A58E01" w14:textId="3445A4BD" w:rsidR="000013A9" w:rsidRDefault="000013A9"/>
    <w:p w14:paraId="6ECDC179" w14:textId="66841E7D" w:rsidR="000013A9" w:rsidRDefault="000013A9"/>
    <w:p w14:paraId="75929206" w14:textId="12F8F09C" w:rsidR="000013A9" w:rsidRDefault="000013A9"/>
    <w:p w14:paraId="73335108" w14:textId="12B8A13C" w:rsidR="000013A9" w:rsidRDefault="000013A9"/>
    <w:p w14:paraId="500E420E" w14:textId="4E08E2F5" w:rsidR="000013A9" w:rsidRDefault="000013A9"/>
    <w:p w14:paraId="45F7C2F8" w14:textId="4CFF887F" w:rsidR="000013A9" w:rsidRDefault="000013A9"/>
    <w:p w14:paraId="429295DC" w14:textId="3106AD2F" w:rsidR="000013A9" w:rsidRDefault="000013A9">
      <w:r>
        <w:lastRenderedPageBreak/>
        <w:t xml:space="preserve">Fig. 5. </w:t>
      </w:r>
      <w:r w:rsidR="00EC2309">
        <w:t>Degradation of Gen 1 paper mulch along interface of buried tuck area.</w:t>
      </w:r>
    </w:p>
    <w:p w14:paraId="2985F761" w14:textId="42CADAE7" w:rsidR="001A7233" w:rsidRDefault="001A7233">
      <w:r>
        <w:rPr>
          <w:noProof/>
        </w:rPr>
        <w:drawing>
          <wp:inline distT="0" distB="0" distL="0" distR="0" wp14:anchorId="7B0847B7" wp14:editId="37B0743B">
            <wp:extent cx="5943600" cy="4457700"/>
            <wp:effectExtent l="0" t="0" r="0" b="0"/>
            <wp:docPr id="8" name="Picture 8"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ound, out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0D81106F" w14:textId="682EBC6A" w:rsidR="001A7233" w:rsidRDefault="001A7233"/>
    <w:p w14:paraId="63FF0E44" w14:textId="4AD325C9" w:rsidR="00EC2309" w:rsidRDefault="00EC2309"/>
    <w:p w14:paraId="215D7D1E" w14:textId="1A95AD5C" w:rsidR="00EC2309" w:rsidRDefault="00EC2309"/>
    <w:p w14:paraId="7B286481" w14:textId="57A4B102" w:rsidR="00EC2309" w:rsidRDefault="00EC2309"/>
    <w:p w14:paraId="64277536" w14:textId="58C89080" w:rsidR="00EC2309" w:rsidRDefault="00EC2309"/>
    <w:p w14:paraId="215C7051" w14:textId="724DA9E4" w:rsidR="00EC2309" w:rsidRDefault="00EC2309"/>
    <w:p w14:paraId="287B8132" w14:textId="25182E43" w:rsidR="00EC2309" w:rsidRDefault="00EC2309"/>
    <w:p w14:paraId="16AB9F7E" w14:textId="77777777" w:rsidR="00EC2309" w:rsidRDefault="00EC2309" w:rsidP="00EC2309">
      <w:pPr>
        <w:spacing w:after="0"/>
      </w:pPr>
      <w:r>
        <w:lastRenderedPageBreak/>
        <w:t>Fig. 6. Photo showing biodegradation of the paper fiber area under the coated layer,</w:t>
      </w:r>
    </w:p>
    <w:p w14:paraId="0C0DDA60" w14:textId="5A30E5C9" w:rsidR="00EC2309" w:rsidRDefault="00EC2309" w:rsidP="00EC2309">
      <w:pPr>
        <w:spacing w:after="0"/>
      </w:pPr>
      <w:r>
        <w:t xml:space="preserve"> note weed growth and transparency of the mulch.</w:t>
      </w:r>
    </w:p>
    <w:p w14:paraId="6194554A" w14:textId="1A4029AF" w:rsidR="001A7233" w:rsidRDefault="001A7233">
      <w:r>
        <w:rPr>
          <w:noProof/>
        </w:rPr>
        <w:drawing>
          <wp:inline distT="0" distB="0" distL="0" distR="0" wp14:anchorId="2367458C" wp14:editId="73CC6347">
            <wp:extent cx="5943600" cy="4457700"/>
            <wp:effectExtent l="0" t="0" r="0" b="0"/>
            <wp:docPr id="7" name="Picture 7"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2A8BF126" w14:textId="20EC45E2" w:rsidR="001A7233" w:rsidRDefault="001A7233"/>
    <w:p w14:paraId="2341BE3A" w14:textId="2C2B89B8" w:rsidR="00EC2309" w:rsidRDefault="00EC2309"/>
    <w:p w14:paraId="1D4F18BC" w14:textId="7E74A34F" w:rsidR="00EC2309" w:rsidRDefault="00EC2309"/>
    <w:p w14:paraId="5BAA04AF" w14:textId="24829880" w:rsidR="00EC2309" w:rsidRDefault="00EC2309"/>
    <w:p w14:paraId="412121B2" w14:textId="2F16702C" w:rsidR="00EC2309" w:rsidRDefault="00EC2309"/>
    <w:p w14:paraId="0ADA1EE8" w14:textId="6CE0525E" w:rsidR="00EC2309" w:rsidRDefault="00EC2309"/>
    <w:p w14:paraId="4A59D41C" w14:textId="77777777" w:rsidR="005613A6" w:rsidRDefault="00EC2309" w:rsidP="005613A6">
      <w:pPr>
        <w:spacing w:after="0"/>
      </w:pPr>
      <w:r>
        <w:lastRenderedPageBreak/>
        <w:t>Fig. 7. Weed growth pressure splitting paper mulches in Gen 2 and Gen 3</w:t>
      </w:r>
    </w:p>
    <w:p w14:paraId="74C4C0CE" w14:textId="6AEE12F3" w:rsidR="00EC2309" w:rsidRDefault="005613A6" w:rsidP="005613A6">
      <w:pPr>
        <w:spacing w:after="0"/>
      </w:pPr>
      <w:r>
        <w:t xml:space="preserve"> (note transparency of the mulch)</w:t>
      </w:r>
      <w:r w:rsidR="00EC2309">
        <w:t>.</w:t>
      </w:r>
    </w:p>
    <w:p w14:paraId="5EAB6D5C" w14:textId="4DED1E3B" w:rsidR="001A7233" w:rsidRDefault="001A7233">
      <w:r>
        <w:rPr>
          <w:noProof/>
        </w:rPr>
        <w:drawing>
          <wp:inline distT="0" distB="0" distL="0" distR="0" wp14:anchorId="3DF078D1" wp14:editId="57896B7A">
            <wp:extent cx="5943600" cy="4457700"/>
            <wp:effectExtent l="0" t="0" r="0" b="0"/>
            <wp:docPr id="10" name="Picture 10" descr="A picture containing outdoor, grass, ground,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grass, ground, natur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1CADA164" w14:textId="144D0224" w:rsidR="001A7233" w:rsidRDefault="001A7233"/>
    <w:p w14:paraId="6957DEFD" w14:textId="6B128DCA" w:rsidR="00EC2309" w:rsidRDefault="00EC2309"/>
    <w:p w14:paraId="41D65E37" w14:textId="57E94A1B" w:rsidR="00EC2309" w:rsidRDefault="00EC2309"/>
    <w:p w14:paraId="2BCCDDC1" w14:textId="6D63F6D3" w:rsidR="00EC2309" w:rsidRDefault="00EC2309"/>
    <w:p w14:paraId="2F00E1F5" w14:textId="4FE93DA8" w:rsidR="00EC2309" w:rsidRDefault="00EC2309"/>
    <w:p w14:paraId="41EF4513" w14:textId="1339CB16" w:rsidR="00EC2309" w:rsidRDefault="00EC2309"/>
    <w:p w14:paraId="2B30D506" w14:textId="0B690C58" w:rsidR="00EC2309" w:rsidRDefault="00EC2309"/>
    <w:p w14:paraId="4E63D46D" w14:textId="77777777" w:rsidR="00EC2309" w:rsidRDefault="00EC2309" w:rsidP="00EC2309">
      <w:pPr>
        <w:spacing w:after="0"/>
      </w:pPr>
      <w:r>
        <w:t>Fig. 8. High weed population under transparent Gen 2 and Gen 3 mulches</w:t>
      </w:r>
    </w:p>
    <w:p w14:paraId="580B322E" w14:textId="445A0EB0" w:rsidR="00EC2309" w:rsidRDefault="00EC2309" w:rsidP="00EC2309">
      <w:pPr>
        <w:spacing w:after="0"/>
      </w:pPr>
      <w:r>
        <w:t xml:space="preserve"> resulting in splitting of the coated layer on bed top area.</w:t>
      </w:r>
    </w:p>
    <w:p w14:paraId="2AA9B12E" w14:textId="46AD2869" w:rsidR="001A7233" w:rsidRDefault="001A7233">
      <w:r>
        <w:rPr>
          <w:noProof/>
        </w:rPr>
        <w:drawing>
          <wp:inline distT="0" distB="0" distL="0" distR="0" wp14:anchorId="07D6B69E" wp14:editId="6253DF5F">
            <wp:extent cx="5943600" cy="4457700"/>
            <wp:effectExtent l="0" t="0" r="0" b="0"/>
            <wp:docPr id="11" name="Picture 11" descr="A picture containing grass, outdoor, groun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outdoor, ground, sto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7BF4295F" w14:textId="7D2F7BAE" w:rsidR="001A7233" w:rsidRDefault="001A7233"/>
    <w:p w14:paraId="78316CE2" w14:textId="1B2B06FA" w:rsidR="00EC2309" w:rsidRDefault="00EC2309"/>
    <w:p w14:paraId="5CB75573" w14:textId="0055F233" w:rsidR="00EC2309" w:rsidRDefault="00EC2309"/>
    <w:p w14:paraId="7C3944B2" w14:textId="3C0D6D62" w:rsidR="00EC2309" w:rsidRDefault="00EC2309"/>
    <w:p w14:paraId="6A2A0F1B" w14:textId="73C90773" w:rsidR="00EC2309" w:rsidRDefault="00EC2309"/>
    <w:sectPr w:rsidR="00EC23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1A102" w14:textId="77777777" w:rsidR="00FB4178" w:rsidRDefault="00FB4178" w:rsidP="000013A9">
      <w:pPr>
        <w:spacing w:after="0" w:line="240" w:lineRule="auto"/>
      </w:pPr>
      <w:r>
        <w:separator/>
      </w:r>
    </w:p>
  </w:endnote>
  <w:endnote w:type="continuationSeparator" w:id="0">
    <w:p w14:paraId="03FF706A" w14:textId="77777777" w:rsidR="00FB4178" w:rsidRDefault="00FB4178" w:rsidP="00001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12A8E" w14:textId="77777777" w:rsidR="00FB4178" w:rsidRDefault="00FB4178" w:rsidP="000013A9">
      <w:pPr>
        <w:spacing w:after="0" w:line="240" w:lineRule="auto"/>
      </w:pPr>
      <w:r>
        <w:separator/>
      </w:r>
    </w:p>
  </w:footnote>
  <w:footnote w:type="continuationSeparator" w:id="0">
    <w:p w14:paraId="6C97C213" w14:textId="77777777" w:rsidR="00FB4178" w:rsidRDefault="00FB4178" w:rsidP="000013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C07E01"/>
    <w:multiLevelType w:val="hybridMultilevel"/>
    <w:tmpl w:val="C6F2B6F2"/>
    <w:lvl w:ilvl="0" w:tplc="04090001">
      <w:start w:val="38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125"/>
    <w:rsid w:val="000013A9"/>
    <w:rsid w:val="000114F5"/>
    <w:rsid w:val="0001320F"/>
    <w:rsid w:val="000768A7"/>
    <w:rsid w:val="00084531"/>
    <w:rsid w:val="000F7209"/>
    <w:rsid w:val="00100765"/>
    <w:rsid w:val="00102086"/>
    <w:rsid w:val="00134231"/>
    <w:rsid w:val="00137748"/>
    <w:rsid w:val="001452E2"/>
    <w:rsid w:val="00161A71"/>
    <w:rsid w:val="001741DD"/>
    <w:rsid w:val="00184683"/>
    <w:rsid w:val="001A7233"/>
    <w:rsid w:val="001B247F"/>
    <w:rsid w:val="001F6C82"/>
    <w:rsid w:val="002006E7"/>
    <w:rsid w:val="00214026"/>
    <w:rsid w:val="0021739C"/>
    <w:rsid w:val="00222003"/>
    <w:rsid w:val="002C58FA"/>
    <w:rsid w:val="00315855"/>
    <w:rsid w:val="00342F2E"/>
    <w:rsid w:val="003A5C0E"/>
    <w:rsid w:val="003B6EF2"/>
    <w:rsid w:val="003F45E3"/>
    <w:rsid w:val="00435E44"/>
    <w:rsid w:val="004855C4"/>
    <w:rsid w:val="00486226"/>
    <w:rsid w:val="00486890"/>
    <w:rsid w:val="004E3587"/>
    <w:rsid w:val="0050540B"/>
    <w:rsid w:val="005123FA"/>
    <w:rsid w:val="00513F6A"/>
    <w:rsid w:val="0053039D"/>
    <w:rsid w:val="00535936"/>
    <w:rsid w:val="005613A6"/>
    <w:rsid w:val="0060662F"/>
    <w:rsid w:val="006232E8"/>
    <w:rsid w:val="0065659B"/>
    <w:rsid w:val="00662E98"/>
    <w:rsid w:val="00676F5B"/>
    <w:rsid w:val="00685FAC"/>
    <w:rsid w:val="006A71DB"/>
    <w:rsid w:val="006B17CD"/>
    <w:rsid w:val="0072432E"/>
    <w:rsid w:val="0077349C"/>
    <w:rsid w:val="007C72E2"/>
    <w:rsid w:val="00803305"/>
    <w:rsid w:val="0082722D"/>
    <w:rsid w:val="008658A9"/>
    <w:rsid w:val="008D08E3"/>
    <w:rsid w:val="00915066"/>
    <w:rsid w:val="00932F2A"/>
    <w:rsid w:val="009343A0"/>
    <w:rsid w:val="00942BEF"/>
    <w:rsid w:val="00966BFE"/>
    <w:rsid w:val="00991CFA"/>
    <w:rsid w:val="00991F7F"/>
    <w:rsid w:val="009B5945"/>
    <w:rsid w:val="009D0D59"/>
    <w:rsid w:val="009F08A9"/>
    <w:rsid w:val="009F232D"/>
    <w:rsid w:val="009F3AF6"/>
    <w:rsid w:val="009F59FE"/>
    <w:rsid w:val="00A01BD8"/>
    <w:rsid w:val="00A2684B"/>
    <w:rsid w:val="00A26D3F"/>
    <w:rsid w:val="00A37FFE"/>
    <w:rsid w:val="00AA129B"/>
    <w:rsid w:val="00AD5B45"/>
    <w:rsid w:val="00AE3C89"/>
    <w:rsid w:val="00B85D11"/>
    <w:rsid w:val="00BA6BF2"/>
    <w:rsid w:val="00BB7B7C"/>
    <w:rsid w:val="00BC1332"/>
    <w:rsid w:val="00BD2401"/>
    <w:rsid w:val="00BD2F50"/>
    <w:rsid w:val="00C2288D"/>
    <w:rsid w:val="00C42824"/>
    <w:rsid w:val="00C47988"/>
    <w:rsid w:val="00C650AA"/>
    <w:rsid w:val="00C67A4A"/>
    <w:rsid w:val="00C71DB4"/>
    <w:rsid w:val="00C80C4F"/>
    <w:rsid w:val="00C862EB"/>
    <w:rsid w:val="00CF1FAE"/>
    <w:rsid w:val="00D04E5C"/>
    <w:rsid w:val="00D13E06"/>
    <w:rsid w:val="00D239C0"/>
    <w:rsid w:val="00D4285D"/>
    <w:rsid w:val="00D434F1"/>
    <w:rsid w:val="00D43C42"/>
    <w:rsid w:val="00D46117"/>
    <w:rsid w:val="00D76F11"/>
    <w:rsid w:val="00DA1D2B"/>
    <w:rsid w:val="00DA22AB"/>
    <w:rsid w:val="00DA624F"/>
    <w:rsid w:val="00DB3E8A"/>
    <w:rsid w:val="00DB482F"/>
    <w:rsid w:val="00DC58EF"/>
    <w:rsid w:val="00E1746D"/>
    <w:rsid w:val="00E825EA"/>
    <w:rsid w:val="00E95E58"/>
    <w:rsid w:val="00EA32E9"/>
    <w:rsid w:val="00EA5948"/>
    <w:rsid w:val="00EC2309"/>
    <w:rsid w:val="00EF01C4"/>
    <w:rsid w:val="00F2204E"/>
    <w:rsid w:val="00F42E0A"/>
    <w:rsid w:val="00F53EA2"/>
    <w:rsid w:val="00F91E74"/>
    <w:rsid w:val="00FA4125"/>
    <w:rsid w:val="00FB4178"/>
    <w:rsid w:val="00FD57C4"/>
    <w:rsid w:val="00FE4B9D"/>
    <w:rsid w:val="137FC0B5"/>
    <w:rsid w:val="181D0536"/>
    <w:rsid w:val="184B127C"/>
    <w:rsid w:val="3C2485B0"/>
    <w:rsid w:val="3C7E77C2"/>
    <w:rsid w:val="4587649A"/>
    <w:rsid w:val="4B929C0C"/>
    <w:rsid w:val="663A9810"/>
    <w:rsid w:val="7318CC9C"/>
    <w:rsid w:val="77A89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D85EC"/>
  <w15:chartTrackingRefBased/>
  <w15:docId w15:val="{2730BB4B-FA24-4A64-8DDC-A89AF2F82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4125"/>
    <w:pPr>
      <w:spacing w:line="256" w:lineRule="auto"/>
      <w:ind w:left="720"/>
      <w:contextualSpacing/>
    </w:pPr>
  </w:style>
  <w:style w:type="character" w:customStyle="1" w:styleId="UnitHeading">
    <w:name w:val="Unit Heading"/>
    <w:basedOn w:val="DefaultParagraphFont"/>
    <w:rsid w:val="00FA4125"/>
    <w:rPr>
      <w:color w:val="0021A5"/>
    </w:rPr>
  </w:style>
  <w:style w:type="table" w:styleId="TableGrid">
    <w:name w:val="Table Grid"/>
    <w:basedOn w:val="TableNormal"/>
    <w:uiPriority w:val="39"/>
    <w:rsid w:val="00512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01C4"/>
    <w:rPr>
      <w:color w:val="0563C1" w:themeColor="hyperlink"/>
      <w:u w:val="single"/>
    </w:rPr>
  </w:style>
  <w:style w:type="paragraph" w:styleId="Header">
    <w:name w:val="header"/>
    <w:basedOn w:val="Normal"/>
    <w:link w:val="HeaderChar"/>
    <w:uiPriority w:val="99"/>
    <w:unhideWhenUsed/>
    <w:rsid w:val="000013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3A9"/>
  </w:style>
  <w:style w:type="paragraph" w:styleId="Footer">
    <w:name w:val="footer"/>
    <w:basedOn w:val="Normal"/>
    <w:link w:val="FooterChar"/>
    <w:uiPriority w:val="99"/>
    <w:unhideWhenUsed/>
    <w:rsid w:val="000013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3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20021">
      <w:bodyDiv w:val="1"/>
      <w:marLeft w:val="0"/>
      <w:marRight w:val="0"/>
      <w:marTop w:val="0"/>
      <w:marBottom w:val="0"/>
      <w:divBdr>
        <w:top w:val="none" w:sz="0" w:space="0" w:color="auto"/>
        <w:left w:val="none" w:sz="0" w:space="0" w:color="auto"/>
        <w:bottom w:val="none" w:sz="0" w:space="0" w:color="auto"/>
        <w:right w:val="none" w:sz="0" w:space="0" w:color="auto"/>
      </w:divBdr>
    </w:div>
    <w:div w:id="129640702">
      <w:bodyDiv w:val="1"/>
      <w:marLeft w:val="0"/>
      <w:marRight w:val="0"/>
      <w:marTop w:val="0"/>
      <w:marBottom w:val="0"/>
      <w:divBdr>
        <w:top w:val="none" w:sz="0" w:space="0" w:color="auto"/>
        <w:left w:val="none" w:sz="0" w:space="0" w:color="auto"/>
        <w:bottom w:val="none" w:sz="0" w:space="0" w:color="auto"/>
        <w:right w:val="none" w:sz="0" w:space="0" w:color="auto"/>
      </w:divBdr>
    </w:div>
    <w:div w:id="271131109">
      <w:bodyDiv w:val="1"/>
      <w:marLeft w:val="0"/>
      <w:marRight w:val="0"/>
      <w:marTop w:val="0"/>
      <w:marBottom w:val="0"/>
      <w:divBdr>
        <w:top w:val="none" w:sz="0" w:space="0" w:color="auto"/>
        <w:left w:val="none" w:sz="0" w:space="0" w:color="auto"/>
        <w:bottom w:val="none" w:sz="0" w:space="0" w:color="auto"/>
        <w:right w:val="none" w:sz="0" w:space="0" w:color="auto"/>
      </w:divBdr>
    </w:div>
    <w:div w:id="291790247">
      <w:bodyDiv w:val="1"/>
      <w:marLeft w:val="0"/>
      <w:marRight w:val="0"/>
      <w:marTop w:val="0"/>
      <w:marBottom w:val="0"/>
      <w:divBdr>
        <w:top w:val="none" w:sz="0" w:space="0" w:color="auto"/>
        <w:left w:val="none" w:sz="0" w:space="0" w:color="auto"/>
        <w:bottom w:val="none" w:sz="0" w:space="0" w:color="auto"/>
        <w:right w:val="none" w:sz="0" w:space="0" w:color="auto"/>
      </w:divBdr>
    </w:div>
    <w:div w:id="602154165">
      <w:bodyDiv w:val="1"/>
      <w:marLeft w:val="0"/>
      <w:marRight w:val="0"/>
      <w:marTop w:val="0"/>
      <w:marBottom w:val="0"/>
      <w:divBdr>
        <w:top w:val="none" w:sz="0" w:space="0" w:color="auto"/>
        <w:left w:val="none" w:sz="0" w:space="0" w:color="auto"/>
        <w:bottom w:val="none" w:sz="0" w:space="0" w:color="auto"/>
        <w:right w:val="none" w:sz="0" w:space="0" w:color="auto"/>
      </w:divBdr>
    </w:div>
    <w:div w:id="1058935867">
      <w:bodyDiv w:val="1"/>
      <w:marLeft w:val="0"/>
      <w:marRight w:val="0"/>
      <w:marTop w:val="0"/>
      <w:marBottom w:val="0"/>
      <w:divBdr>
        <w:top w:val="none" w:sz="0" w:space="0" w:color="auto"/>
        <w:left w:val="none" w:sz="0" w:space="0" w:color="auto"/>
        <w:bottom w:val="none" w:sz="0" w:space="0" w:color="auto"/>
        <w:right w:val="none" w:sz="0" w:space="0" w:color="auto"/>
      </w:divBdr>
    </w:div>
    <w:div w:id="1303727542">
      <w:bodyDiv w:val="1"/>
      <w:marLeft w:val="0"/>
      <w:marRight w:val="0"/>
      <w:marTop w:val="0"/>
      <w:marBottom w:val="0"/>
      <w:divBdr>
        <w:top w:val="none" w:sz="0" w:space="0" w:color="auto"/>
        <w:left w:val="none" w:sz="0" w:space="0" w:color="auto"/>
        <w:bottom w:val="none" w:sz="0" w:space="0" w:color="auto"/>
        <w:right w:val="none" w:sz="0" w:space="0" w:color="auto"/>
      </w:divBdr>
    </w:div>
    <w:div w:id="1380280676">
      <w:bodyDiv w:val="1"/>
      <w:marLeft w:val="0"/>
      <w:marRight w:val="0"/>
      <w:marTop w:val="0"/>
      <w:marBottom w:val="0"/>
      <w:divBdr>
        <w:top w:val="none" w:sz="0" w:space="0" w:color="auto"/>
        <w:left w:val="none" w:sz="0" w:space="0" w:color="auto"/>
        <w:bottom w:val="none" w:sz="0" w:space="0" w:color="auto"/>
        <w:right w:val="none" w:sz="0" w:space="0" w:color="auto"/>
      </w:divBdr>
    </w:div>
    <w:div w:id="1558859306">
      <w:bodyDiv w:val="1"/>
      <w:marLeft w:val="0"/>
      <w:marRight w:val="0"/>
      <w:marTop w:val="0"/>
      <w:marBottom w:val="0"/>
      <w:divBdr>
        <w:top w:val="none" w:sz="0" w:space="0" w:color="auto"/>
        <w:left w:val="none" w:sz="0" w:space="0" w:color="auto"/>
        <w:bottom w:val="none" w:sz="0" w:space="0" w:color="auto"/>
        <w:right w:val="none" w:sz="0" w:space="0" w:color="auto"/>
      </w:divBdr>
    </w:div>
    <w:div w:id="1568495941">
      <w:bodyDiv w:val="1"/>
      <w:marLeft w:val="0"/>
      <w:marRight w:val="0"/>
      <w:marTop w:val="0"/>
      <w:marBottom w:val="0"/>
      <w:divBdr>
        <w:top w:val="none" w:sz="0" w:space="0" w:color="auto"/>
        <w:left w:val="none" w:sz="0" w:space="0" w:color="auto"/>
        <w:bottom w:val="none" w:sz="0" w:space="0" w:color="auto"/>
        <w:right w:val="none" w:sz="0" w:space="0" w:color="auto"/>
      </w:divBdr>
    </w:div>
    <w:div w:id="1638532272">
      <w:bodyDiv w:val="1"/>
      <w:marLeft w:val="0"/>
      <w:marRight w:val="0"/>
      <w:marTop w:val="0"/>
      <w:marBottom w:val="0"/>
      <w:divBdr>
        <w:top w:val="none" w:sz="0" w:space="0" w:color="auto"/>
        <w:left w:val="none" w:sz="0" w:space="0" w:color="auto"/>
        <w:bottom w:val="none" w:sz="0" w:space="0" w:color="auto"/>
        <w:right w:val="none" w:sz="0" w:space="0" w:color="auto"/>
      </w:divBdr>
    </w:div>
    <w:div w:id="1862009661">
      <w:bodyDiv w:val="1"/>
      <w:marLeft w:val="0"/>
      <w:marRight w:val="0"/>
      <w:marTop w:val="0"/>
      <w:marBottom w:val="0"/>
      <w:divBdr>
        <w:top w:val="none" w:sz="0" w:space="0" w:color="auto"/>
        <w:left w:val="none" w:sz="0" w:space="0" w:color="auto"/>
        <w:bottom w:val="none" w:sz="0" w:space="0" w:color="auto"/>
        <w:right w:val="none" w:sz="0" w:space="0" w:color="auto"/>
      </w:divBdr>
    </w:div>
    <w:div w:id="1972204068">
      <w:bodyDiv w:val="1"/>
      <w:marLeft w:val="0"/>
      <w:marRight w:val="0"/>
      <w:marTop w:val="0"/>
      <w:marBottom w:val="0"/>
      <w:divBdr>
        <w:top w:val="none" w:sz="0" w:space="0" w:color="auto"/>
        <w:left w:val="none" w:sz="0" w:space="0" w:color="auto"/>
        <w:bottom w:val="none" w:sz="0" w:space="0" w:color="auto"/>
        <w:right w:val="none" w:sz="0" w:space="0" w:color="auto"/>
      </w:divBdr>
    </w:div>
    <w:div w:id="199787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bobhoch@ufl.edu"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11</Pages>
  <Words>1097</Words>
  <Characters>6256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7339</CharactersWithSpaces>
  <SharedDoc>false</SharedDoc>
  <HLinks>
    <vt:vector size="6" baseType="variant">
      <vt:variant>
        <vt:i4>7077954</vt:i4>
      </vt:variant>
      <vt:variant>
        <vt:i4>0</vt:i4>
      </vt:variant>
      <vt:variant>
        <vt:i4>0</vt:i4>
      </vt:variant>
      <vt:variant>
        <vt:i4>5</vt:i4>
      </vt:variant>
      <vt:variant>
        <vt:lpwstr>mailto:bobhoch@ufl.edu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Mcmillan,Alexandor M</dc:creator>
  <cp:keywords/>
  <dc:description/>
  <cp:lastModifiedBy>Hochmuth,Robert Conway</cp:lastModifiedBy>
  <cp:revision>5</cp:revision>
  <dcterms:created xsi:type="dcterms:W3CDTF">2021-08-08T14:00:00Z</dcterms:created>
  <dcterms:modified xsi:type="dcterms:W3CDTF">2021-08-08T17:28:00Z</dcterms:modified>
</cp:coreProperties>
</file>