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08803" w14:textId="753535A5" w:rsidR="003A7B1E" w:rsidRDefault="003A7B1E" w:rsidP="003A7B1E">
      <w:pPr>
        <w:spacing w:after="0"/>
      </w:pPr>
      <w:r>
        <w:rPr>
          <w:noProof/>
        </w:rPr>
        <w:drawing>
          <wp:anchor distT="0" distB="0" distL="114300" distR="114300" simplePos="0" relativeHeight="251658240" behindDoc="0" locked="0" layoutInCell="1" allowOverlap="1" wp14:anchorId="4772A8A1" wp14:editId="2D6A477D">
            <wp:simplePos x="0" y="0"/>
            <wp:positionH relativeFrom="margin">
              <wp:align>left</wp:align>
            </wp:positionH>
            <wp:positionV relativeFrom="paragraph">
              <wp:posOffset>-160020</wp:posOffset>
            </wp:positionV>
            <wp:extent cx="2298700" cy="419100"/>
            <wp:effectExtent l="0" t="0" r="6350" b="0"/>
            <wp:wrapNone/>
            <wp:docPr id="1" name="Picture 1" descr="U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7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B77E" w14:textId="77777777" w:rsidR="0012122A" w:rsidRDefault="0012122A" w:rsidP="2A867D01">
      <w:pPr>
        <w:spacing w:after="0"/>
        <w:rPr>
          <w:rStyle w:val="UnitHeading"/>
          <w:rFonts w:ascii="Palatino Linotype" w:eastAsia="Times New Roman" w:hAnsi="Palatino Linotype" w:cs="Times New Roman"/>
          <w:b/>
          <w:bCs/>
          <w:sz w:val="20"/>
          <w:szCs w:val="20"/>
        </w:rPr>
      </w:pPr>
    </w:p>
    <w:p w14:paraId="3423EFE8" w14:textId="14051A1F" w:rsidR="003A7B1E" w:rsidRPr="003A7B1E" w:rsidRDefault="2A867D01" w:rsidP="2A867D01">
      <w:pPr>
        <w:spacing w:after="0"/>
        <w:rPr>
          <w:rStyle w:val="UnitHeading"/>
          <w:rFonts w:ascii="Palatino Linotype" w:eastAsia="Times New Roman" w:hAnsi="Palatino Linotype" w:cs="Times New Roman"/>
          <w:b/>
          <w:bCs/>
          <w:sz w:val="20"/>
          <w:szCs w:val="20"/>
        </w:rPr>
      </w:pPr>
      <w:r w:rsidRPr="2A867D01">
        <w:rPr>
          <w:rStyle w:val="UnitHeading"/>
          <w:rFonts w:ascii="Palatino Linotype" w:eastAsia="Times New Roman" w:hAnsi="Palatino Linotype" w:cs="Times New Roman"/>
          <w:b/>
          <w:bCs/>
          <w:sz w:val="20"/>
          <w:szCs w:val="20"/>
        </w:rPr>
        <w:t>UF/IFAS</w:t>
      </w:r>
    </w:p>
    <w:p w14:paraId="6B3EE2A2" w14:textId="1B18C334"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North Florida Research and Education Center - Suwannee Valley                      </w:t>
      </w:r>
    </w:p>
    <w:p w14:paraId="5C304EE3" w14:textId="77777777" w:rsidR="00C52F10"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7580 County Road 136</w:t>
      </w:r>
    </w:p>
    <w:p w14:paraId="6605DAC3" w14:textId="444F3CC5"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Live Oak, FL 32060      </w:t>
      </w:r>
    </w:p>
    <w:p w14:paraId="58C49EFB" w14:textId="4A97D897"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386-362-1725</w:t>
      </w:r>
    </w:p>
    <w:p w14:paraId="4589E0EF" w14:textId="504D2FEF" w:rsidR="003A7B1E" w:rsidRPr="00786439" w:rsidRDefault="2A867D01" w:rsidP="00786439">
      <w:pPr>
        <w:spacing w:after="0"/>
        <w:rPr>
          <w:rStyle w:val="UnitHeading"/>
          <w:rFonts w:ascii="Palatino Linotype" w:eastAsia="Palatino Linotype" w:hAnsi="Palatino Linotype" w:cs="Palatino Linotype"/>
          <w:color w:val="auto"/>
          <w:sz w:val="20"/>
          <w:szCs w:val="20"/>
        </w:rPr>
      </w:pPr>
      <w:r w:rsidRPr="2A867D01">
        <w:rPr>
          <w:rFonts w:ascii="Palatino Linotype" w:eastAsia="Palatino Linotype" w:hAnsi="Palatino Linotype" w:cs="Palatino Linotype"/>
          <w:color w:val="0021A5"/>
          <w:sz w:val="20"/>
          <w:szCs w:val="20"/>
        </w:rPr>
        <w:t>386-362-3067 Fax</w:t>
      </w:r>
    </w:p>
    <w:p w14:paraId="2EDB3765" w14:textId="1472908E" w:rsidR="00C52F10" w:rsidRDefault="00C52F10" w:rsidP="003A7B1E">
      <w:pPr>
        <w:tabs>
          <w:tab w:val="left" w:pos="7315"/>
        </w:tabs>
        <w:spacing w:after="0"/>
        <w:rPr>
          <w:rStyle w:val="UnitHeading"/>
          <w:rFonts w:ascii="Palatino Linotype" w:eastAsia="Times New Roman" w:hAnsi="Palatino Linotype" w:cs="Times New Roman"/>
          <w:sz w:val="20"/>
          <w:szCs w:val="24"/>
        </w:rPr>
      </w:pPr>
    </w:p>
    <w:p w14:paraId="50B7B388" w14:textId="77777777" w:rsidR="0081090D" w:rsidRDefault="0081090D" w:rsidP="0081090D">
      <w:pPr>
        <w:spacing w:after="0" w:line="276" w:lineRule="auto"/>
        <w:jc w:val="center"/>
        <w:rPr>
          <w:rFonts w:ascii="Cambria" w:eastAsia="Calibri" w:hAnsi="Cambria" w:cs="Times New Roman"/>
          <w:b/>
          <w:bCs/>
          <w:sz w:val="24"/>
          <w:szCs w:val="24"/>
        </w:rPr>
      </w:pPr>
    </w:p>
    <w:p w14:paraId="1238DE11" w14:textId="7E4C5076" w:rsidR="0081090D" w:rsidRPr="0081090D" w:rsidRDefault="0081090D" w:rsidP="0081090D">
      <w:pPr>
        <w:spacing w:after="0" w:line="276" w:lineRule="auto"/>
        <w:jc w:val="center"/>
        <w:rPr>
          <w:rFonts w:ascii="Cambria" w:eastAsia="Calibri" w:hAnsi="Cambria" w:cs="Times New Roman"/>
          <w:b/>
          <w:bCs/>
          <w:sz w:val="24"/>
          <w:szCs w:val="24"/>
        </w:rPr>
      </w:pPr>
      <w:r w:rsidRPr="0081090D">
        <w:rPr>
          <w:rFonts w:ascii="Cambria" w:eastAsia="Calibri" w:hAnsi="Cambria" w:cs="Times New Roman"/>
          <w:b/>
          <w:bCs/>
          <w:sz w:val="24"/>
          <w:szCs w:val="24"/>
        </w:rPr>
        <w:t xml:space="preserve">Evaluation of a Complete Analysis and Controlled Release Fertilizer on a </w:t>
      </w:r>
    </w:p>
    <w:p w14:paraId="2AABDB17" w14:textId="77777777" w:rsidR="0081090D" w:rsidRPr="0081090D" w:rsidRDefault="0081090D" w:rsidP="0081090D">
      <w:pPr>
        <w:spacing w:after="0" w:line="276" w:lineRule="auto"/>
        <w:jc w:val="center"/>
        <w:rPr>
          <w:rFonts w:ascii="Cambria" w:eastAsia="Calibri" w:hAnsi="Cambria" w:cs="Times New Roman"/>
          <w:sz w:val="24"/>
          <w:szCs w:val="24"/>
        </w:rPr>
      </w:pPr>
      <w:r w:rsidRPr="0081090D">
        <w:rPr>
          <w:rFonts w:ascii="Cambria" w:eastAsia="Calibri" w:hAnsi="Cambria" w:cs="Times New Roman"/>
          <w:b/>
          <w:bCs/>
          <w:sz w:val="24"/>
          <w:szCs w:val="24"/>
        </w:rPr>
        <w:t>Commercial Watermelon Farm in Suwannee Valley, Florida</w:t>
      </w:r>
    </w:p>
    <w:p w14:paraId="1E00BB94" w14:textId="77777777" w:rsidR="0081090D" w:rsidRPr="0081090D" w:rsidRDefault="0081090D" w:rsidP="0081090D">
      <w:pPr>
        <w:spacing w:after="0" w:line="276" w:lineRule="auto"/>
        <w:jc w:val="center"/>
        <w:rPr>
          <w:rFonts w:ascii="Cambria" w:eastAsia="Calibri" w:hAnsi="Cambria" w:cs="Times New Roman"/>
          <w:sz w:val="24"/>
          <w:szCs w:val="24"/>
        </w:rPr>
      </w:pPr>
    </w:p>
    <w:p w14:paraId="1D28D56A" w14:textId="77777777" w:rsidR="0081090D" w:rsidRP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sz w:val="24"/>
          <w:szCs w:val="24"/>
        </w:rPr>
        <w:t>Robert Hochmuth, Charles E. Barrett, Marina Burani-Arouca, and Elizabeth Martin</w:t>
      </w:r>
    </w:p>
    <w:p w14:paraId="42900346" w14:textId="77777777" w:rsidR="0081090D" w:rsidRP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sz w:val="24"/>
          <w:szCs w:val="24"/>
        </w:rPr>
        <w:t>University of Florida, Institute of Food and Agricultural Sciences (UF/IFAS)</w:t>
      </w:r>
    </w:p>
    <w:p w14:paraId="29DA5E03" w14:textId="77777777" w:rsidR="0081090D" w:rsidRP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sz w:val="24"/>
          <w:szCs w:val="24"/>
        </w:rPr>
        <w:t>North Florida Research and Education Center- Suwannee Valley (NFREC-SV), Live Oak, FL</w:t>
      </w:r>
    </w:p>
    <w:p w14:paraId="39555ACD" w14:textId="77777777" w:rsidR="0081090D" w:rsidRPr="0081090D" w:rsidRDefault="0081090D" w:rsidP="0081090D">
      <w:pPr>
        <w:spacing w:after="200" w:line="240" w:lineRule="auto"/>
        <w:contextualSpacing/>
        <w:rPr>
          <w:rFonts w:ascii="Cambria" w:eastAsia="Times New Roman" w:hAnsi="Cambria" w:cs="Cambria"/>
          <w:sz w:val="6"/>
          <w:szCs w:val="6"/>
        </w:rPr>
      </w:pPr>
    </w:p>
    <w:p w14:paraId="1A894FC7" w14:textId="77777777" w:rsidR="0081090D" w:rsidRP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sz w:val="24"/>
          <w:szCs w:val="24"/>
        </w:rPr>
        <w:t xml:space="preserve">Jay Skillman </w:t>
      </w:r>
    </w:p>
    <w:p w14:paraId="20C64EF3" w14:textId="326F3B34" w:rsid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sz w:val="24"/>
          <w:szCs w:val="24"/>
        </w:rPr>
        <w:t>Specialty Ag Sales, Harrell’s Fertilizer Company, Lakeland, FL</w:t>
      </w:r>
    </w:p>
    <w:p w14:paraId="703F08B6" w14:textId="59B2C3FE" w:rsidR="0081090D" w:rsidRDefault="0081090D" w:rsidP="0081090D">
      <w:pPr>
        <w:spacing w:after="200" w:line="240" w:lineRule="auto"/>
        <w:contextualSpacing/>
        <w:rPr>
          <w:rFonts w:ascii="Cambria" w:eastAsia="Times New Roman" w:hAnsi="Cambria" w:cs="Cambria"/>
          <w:sz w:val="24"/>
          <w:szCs w:val="24"/>
        </w:rPr>
      </w:pPr>
      <w:r>
        <w:rPr>
          <w:rFonts w:ascii="Cambria" w:eastAsia="Times New Roman" w:hAnsi="Cambria" w:cs="Cambria"/>
          <w:sz w:val="24"/>
          <w:szCs w:val="24"/>
        </w:rPr>
        <w:t>Jack and Riley Putnal</w:t>
      </w:r>
    </w:p>
    <w:p w14:paraId="3A15C576" w14:textId="36214BB9" w:rsidR="0081090D" w:rsidRPr="0081090D" w:rsidRDefault="0081090D" w:rsidP="0081090D">
      <w:pPr>
        <w:spacing w:after="200" w:line="240" w:lineRule="auto"/>
        <w:contextualSpacing/>
        <w:rPr>
          <w:rFonts w:ascii="Cambria" w:eastAsia="Times New Roman" w:hAnsi="Cambria" w:cs="Cambria"/>
          <w:sz w:val="24"/>
          <w:szCs w:val="24"/>
        </w:rPr>
      </w:pPr>
      <w:r>
        <w:rPr>
          <w:rFonts w:ascii="Cambria" w:eastAsia="Times New Roman" w:hAnsi="Cambria" w:cs="Cambria"/>
          <w:sz w:val="24"/>
          <w:szCs w:val="24"/>
        </w:rPr>
        <w:t>Putnal Farms, Live Oak, FL</w:t>
      </w:r>
      <w:bookmarkStart w:id="0" w:name="_GoBack"/>
      <w:bookmarkEnd w:id="0"/>
    </w:p>
    <w:p w14:paraId="72CF88F4" w14:textId="77777777" w:rsidR="0081090D" w:rsidRPr="0081090D" w:rsidRDefault="0081090D" w:rsidP="0081090D">
      <w:pPr>
        <w:spacing w:after="200" w:line="240" w:lineRule="auto"/>
        <w:contextualSpacing/>
        <w:rPr>
          <w:rFonts w:ascii="Cambria" w:eastAsia="Times New Roman" w:hAnsi="Cambria" w:cs="Cambria"/>
          <w:sz w:val="24"/>
          <w:szCs w:val="24"/>
        </w:rPr>
      </w:pPr>
    </w:p>
    <w:p w14:paraId="1EC60030" w14:textId="77777777" w:rsidR="0081090D" w:rsidRPr="0081090D" w:rsidRDefault="0081090D" w:rsidP="0081090D">
      <w:pPr>
        <w:spacing w:after="200" w:line="240" w:lineRule="auto"/>
        <w:contextualSpacing/>
        <w:rPr>
          <w:rFonts w:ascii="Cambria" w:eastAsia="Times New Roman" w:hAnsi="Cambria" w:cs="Cambria"/>
          <w:sz w:val="24"/>
          <w:szCs w:val="24"/>
        </w:rPr>
      </w:pPr>
      <w:r w:rsidRPr="0081090D">
        <w:rPr>
          <w:rFonts w:ascii="Cambria" w:eastAsia="Times New Roman" w:hAnsi="Cambria" w:cs="Cambria"/>
          <w:b/>
          <w:bCs/>
          <w:sz w:val="24"/>
          <w:szCs w:val="24"/>
        </w:rPr>
        <w:t>Corresponding author</w:t>
      </w:r>
      <w:r w:rsidRPr="0081090D">
        <w:rPr>
          <w:rFonts w:ascii="Cambria" w:eastAsia="Times New Roman" w:hAnsi="Cambria" w:cs="Cambria"/>
          <w:sz w:val="24"/>
          <w:szCs w:val="24"/>
        </w:rPr>
        <w:t xml:space="preserve">: Robert Hochmuth, bobhoch@ufl.edu </w:t>
      </w:r>
    </w:p>
    <w:p w14:paraId="2D01FB8B" w14:textId="77777777" w:rsidR="0081090D" w:rsidRPr="0081090D" w:rsidRDefault="0081090D" w:rsidP="0081090D">
      <w:pPr>
        <w:spacing w:after="200" w:line="240" w:lineRule="auto"/>
        <w:contextualSpacing/>
        <w:rPr>
          <w:rFonts w:ascii="Cambria" w:eastAsia="Times New Roman" w:hAnsi="Cambria" w:cs="Cambria"/>
          <w:sz w:val="24"/>
          <w:szCs w:val="24"/>
        </w:rPr>
      </w:pPr>
    </w:p>
    <w:p w14:paraId="401BCFA0" w14:textId="77777777" w:rsidR="0081090D" w:rsidRPr="0081090D" w:rsidRDefault="0081090D" w:rsidP="0081090D">
      <w:pPr>
        <w:spacing w:after="200" w:line="276" w:lineRule="auto"/>
        <w:rPr>
          <w:rFonts w:ascii="Cambria" w:eastAsia="Calibri" w:hAnsi="Cambria" w:cs="Times New Roman"/>
          <w:sz w:val="24"/>
          <w:szCs w:val="24"/>
        </w:rPr>
      </w:pPr>
      <w:r w:rsidRPr="0081090D">
        <w:rPr>
          <w:rFonts w:ascii="Cambria" w:eastAsia="Calibri" w:hAnsi="Cambria" w:cs="Times New Roman"/>
          <w:b/>
          <w:bCs/>
          <w:sz w:val="24"/>
          <w:szCs w:val="24"/>
        </w:rPr>
        <w:t>Funding:</w:t>
      </w:r>
      <w:r w:rsidRPr="0081090D">
        <w:rPr>
          <w:rFonts w:ascii="Cambria" w:eastAsia="Calibri" w:hAnsi="Cambria" w:cs="Times New Roman"/>
          <w:sz w:val="24"/>
          <w:szCs w:val="24"/>
        </w:rPr>
        <w:t xml:space="preserve"> This trial was conducted as part of a Florida Department of Agriculture, Office of Ag Water Policy (FDACS OAWP) grant. Harrell’s Fertilizer Company and Waters Agricultural Labs (Camilla, GA) were in-kind partners in this research project.</w:t>
      </w:r>
    </w:p>
    <w:p w14:paraId="05F8F596" w14:textId="77777777" w:rsidR="0081090D" w:rsidRPr="0081090D" w:rsidRDefault="0081090D" w:rsidP="0081090D">
      <w:pPr>
        <w:spacing w:after="200" w:line="276" w:lineRule="auto"/>
        <w:rPr>
          <w:rFonts w:ascii="Cambria" w:eastAsia="Calibri" w:hAnsi="Cambria" w:cs="Cambria"/>
          <w:b/>
          <w:bCs/>
          <w:sz w:val="24"/>
          <w:szCs w:val="24"/>
        </w:rPr>
      </w:pPr>
      <w:r w:rsidRPr="0081090D">
        <w:rPr>
          <w:rFonts w:ascii="Cambria" w:eastAsia="Calibri" w:hAnsi="Cambria" w:cs="Cambria"/>
          <w:b/>
          <w:bCs/>
          <w:sz w:val="24"/>
          <w:szCs w:val="24"/>
        </w:rPr>
        <w:t>Overview</w:t>
      </w:r>
    </w:p>
    <w:p w14:paraId="3AF22168"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This report is part of an ongoing research program on the use of controlled release fertilizer in watermelon production in North Florida. The objective of this overall two-year project was to evaluate a controlled release nitrogen source as an alternative to in bed applications of conventional, soluble, sources of nitrogen fertilizers. Recent research at NFREC- Suwannee Valley with controlled release fertilizers (CRF), especially nitrogen, has shown great promise in watermelon, carrot, and corn production. Our objective was to expand the research onto a commercial watermelon farm in the Suwannee Valley. This large scale on-farm trial compared the season long CRF to the conventional fertilizer being used on this farm. The farmer has adopted and is currently using Best Management Practices (BMPs), including applying some fertilizer preplant and the remainder applied via fertigation based on leaf tissue analysis and petiole sap analysis. The farmer uses plastic mulch, drip irrigation, and soil moisture sensors as components of the overall BMP program. We measured the movement of nitrogen in the soil over time by taking multi-</w:t>
      </w:r>
      <w:r w:rsidRPr="0081090D">
        <w:rPr>
          <w:rFonts w:ascii="Cambria" w:eastAsia="Calibri" w:hAnsi="Cambria" w:cs="Cambria"/>
          <w:sz w:val="24"/>
          <w:szCs w:val="24"/>
        </w:rPr>
        <w:lastRenderedPageBreak/>
        <w:t>depth soil samples with a manual soil auger and analyzing the soil for nitrate- N. CRFs offer the possibility of adopting new fertilizer coating technology (potentially an advanced BMP) to help reduce N losses in commercial watermelon production.</w:t>
      </w:r>
    </w:p>
    <w:p w14:paraId="75F8692C" w14:textId="77777777" w:rsidR="0081090D" w:rsidRPr="0081090D" w:rsidRDefault="0081090D" w:rsidP="0081090D">
      <w:pPr>
        <w:spacing w:after="200" w:line="276" w:lineRule="auto"/>
        <w:rPr>
          <w:rFonts w:ascii="Cambria" w:eastAsia="Calibri" w:hAnsi="Cambria" w:cs="Cambria"/>
          <w:b/>
          <w:bCs/>
          <w:sz w:val="24"/>
          <w:szCs w:val="24"/>
        </w:rPr>
      </w:pPr>
      <w:r w:rsidRPr="0081090D">
        <w:rPr>
          <w:rFonts w:ascii="Cambria" w:eastAsia="Calibri" w:hAnsi="Cambria" w:cs="Cambria"/>
          <w:b/>
          <w:bCs/>
          <w:sz w:val="24"/>
          <w:szCs w:val="24"/>
        </w:rPr>
        <w:t>Materials and Methods</w:t>
      </w:r>
    </w:p>
    <w:p w14:paraId="55E7A762"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 xml:space="preserve"> A 20-acre field at a watermelon farm in Suwannee Valley was selected for this trial. One ten-acre zone was established as the current conventional fertilizer BMP area and was compared to a ten-acre zone where the season-long CRF was used. Each of these ten-acre sections were established as their own irrigation zone so any fertigation could be implemented on the conventional fertilizer zone only and not affect the CRF treatment. The CRF irrigation zone did not receive any fertilizer via drip irrigation for the entire season. </w:t>
      </w:r>
    </w:p>
    <w:p w14:paraId="330D31BF"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 xml:space="preserve">The entire experimental area was prepared the same with tillage. Once the field area was marked, the preplant fertilizers were applied. The CRF treatment targeted 150lbs per acre of N by applying 1,000 lbs per acre of 15-3-21 </w:t>
      </w:r>
      <w:bookmarkStart w:id="1" w:name="_Hlk50740020"/>
      <w:r w:rsidRPr="0081090D">
        <w:rPr>
          <w:rFonts w:ascii="Cambria" w:eastAsia="Calibri" w:hAnsi="Cambria" w:cs="Cambria"/>
          <w:sz w:val="24"/>
          <w:szCs w:val="24"/>
        </w:rPr>
        <w:t>(N-P</w:t>
      </w:r>
      <w:r w:rsidRPr="0081090D">
        <w:rPr>
          <w:rFonts w:ascii="Cambria" w:eastAsia="Calibri" w:hAnsi="Cambria" w:cs="Cambria"/>
          <w:sz w:val="24"/>
          <w:szCs w:val="24"/>
          <w:vertAlign w:val="subscript"/>
        </w:rPr>
        <w:t>2</w:t>
      </w:r>
      <w:r w:rsidRPr="0081090D">
        <w:rPr>
          <w:rFonts w:ascii="Cambria" w:eastAsia="Calibri" w:hAnsi="Cambria" w:cs="Cambria"/>
          <w:sz w:val="24"/>
          <w:szCs w:val="24"/>
        </w:rPr>
        <w:t>O</w:t>
      </w:r>
      <w:r w:rsidRPr="0081090D">
        <w:rPr>
          <w:rFonts w:ascii="Cambria" w:eastAsia="Calibri" w:hAnsi="Cambria" w:cs="Cambria"/>
          <w:sz w:val="24"/>
          <w:szCs w:val="24"/>
          <w:vertAlign w:val="subscript"/>
        </w:rPr>
        <w:t>5</w:t>
      </w:r>
      <w:r w:rsidRPr="0081090D">
        <w:rPr>
          <w:rFonts w:ascii="Cambria" w:eastAsia="Calibri" w:hAnsi="Cambria" w:cs="Cambria"/>
          <w:sz w:val="24"/>
          <w:szCs w:val="24"/>
        </w:rPr>
        <w:t>-K</w:t>
      </w:r>
      <w:r w:rsidRPr="0081090D">
        <w:rPr>
          <w:rFonts w:ascii="Cambria" w:eastAsia="Calibri" w:hAnsi="Cambria" w:cs="Cambria"/>
          <w:sz w:val="24"/>
          <w:szCs w:val="24"/>
          <w:vertAlign w:val="subscript"/>
        </w:rPr>
        <w:t>2</w:t>
      </w:r>
      <w:r w:rsidRPr="0081090D">
        <w:rPr>
          <w:rFonts w:ascii="Cambria" w:eastAsia="Calibri" w:hAnsi="Cambria" w:cs="Cambria"/>
          <w:sz w:val="24"/>
          <w:szCs w:val="24"/>
        </w:rPr>
        <w:t xml:space="preserve">O) plus micronutrients </w:t>
      </w:r>
      <w:bookmarkEnd w:id="1"/>
      <w:r w:rsidRPr="0081090D">
        <w:rPr>
          <w:rFonts w:ascii="Cambria" w:eastAsia="Calibri" w:hAnsi="Cambria" w:cs="Cambria"/>
          <w:sz w:val="24"/>
          <w:szCs w:val="24"/>
        </w:rPr>
        <w:t>prior to bedding (this was the only fertilizer applied to this treatment season long). The CRF was supplied by Harrell’s Fertilizer Company. Most, but not all of the nitrogen, phosphorus, and potash sources in this fertilizer were coated and controlled release (93% coated N, 88% coated P, 96% coated K). In the conventional fertilizer zone, the pre-bed fertilizer analysis was 8-8-32 (N-P</w:t>
      </w:r>
      <w:r w:rsidRPr="0081090D">
        <w:rPr>
          <w:rFonts w:ascii="Cambria" w:eastAsia="Calibri" w:hAnsi="Cambria" w:cs="Cambria"/>
          <w:sz w:val="24"/>
          <w:szCs w:val="24"/>
          <w:vertAlign w:val="subscript"/>
        </w:rPr>
        <w:t>2</w:t>
      </w:r>
      <w:r w:rsidRPr="0081090D">
        <w:rPr>
          <w:rFonts w:ascii="Cambria" w:eastAsia="Calibri" w:hAnsi="Cambria" w:cs="Cambria"/>
          <w:sz w:val="24"/>
          <w:szCs w:val="24"/>
        </w:rPr>
        <w:t>O</w:t>
      </w:r>
      <w:r w:rsidRPr="0081090D">
        <w:rPr>
          <w:rFonts w:ascii="Cambria" w:eastAsia="Calibri" w:hAnsi="Cambria" w:cs="Cambria"/>
          <w:sz w:val="24"/>
          <w:szCs w:val="24"/>
          <w:vertAlign w:val="subscript"/>
        </w:rPr>
        <w:t>5</w:t>
      </w:r>
      <w:r w:rsidRPr="0081090D">
        <w:rPr>
          <w:rFonts w:ascii="Cambria" w:eastAsia="Calibri" w:hAnsi="Cambria" w:cs="Cambria"/>
          <w:sz w:val="24"/>
          <w:szCs w:val="24"/>
        </w:rPr>
        <w:t>-K</w:t>
      </w:r>
      <w:r w:rsidRPr="0081090D">
        <w:rPr>
          <w:rFonts w:ascii="Cambria" w:eastAsia="Calibri" w:hAnsi="Cambria" w:cs="Cambria"/>
          <w:sz w:val="24"/>
          <w:szCs w:val="24"/>
          <w:vertAlign w:val="subscript"/>
        </w:rPr>
        <w:t>2</w:t>
      </w:r>
      <w:r w:rsidRPr="0081090D">
        <w:rPr>
          <w:rFonts w:ascii="Cambria" w:eastAsia="Calibri" w:hAnsi="Cambria" w:cs="Cambria"/>
          <w:sz w:val="24"/>
          <w:szCs w:val="24"/>
        </w:rPr>
        <w:t>O) plus micronutrients and was applied at a rate of 560 lbs per acre. Fertilizers were incorporated and soil was bedded and press to form beds 24 inches wide and 6 inches high on 8-ft centers. The pressed beds were covered with a nondegradable black plastic and the drip tape was laid on the soil surface slightly off-center of the bed as the plastic was laid. In addition to the preplant fertilizer application, the remaining nitrogen and potassium was applied via drip irrigation (fertigations). The sources included 21% N solution, used early in the season, and the remaining fertigations used 10-0-10 (N-P</w:t>
      </w:r>
      <w:r w:rsidRPr="0081090D">
        <w:rPr>
          <w:rFonts w:ascii="Cambria" w:eastAsia="Calibri" w:hAnsi="Cambria" w:cs="Cambria"/>
          <w:sz w:val="24"/>
          <w:szCs w:val="24"/>
          <w:vertAlign w:val="subscript"/>
        </w:rPr>
        <w:t>2</w:t>
      </w:r>
      <w:r w:rsidRPr="0081090D">
        <w:rPr>
          <w:rFonts w:ascii="Cambria" w:eastAsia="Calibri" w:hAnsi="Cambria" w:cs="Cambria"/>
          <w:sz w:val="24"/>
          <w:szCs w:val="24"/>
        </w:rPr>
        <w:t>O</w:t>
      </w:r>
      <w:r w:rsidRPr="0081090D">
        <w:rPr>
          <w:rFonts w:ascii="Cambria" w:eastAsia="Calibri" w:hAnsi="Cambria" w:cs="Cambria"/>
          <w:sz w:val="24"/>
          <w:szCs w:val="24"/>
          <w:vertAlign w:val="subscript"/>
        </w:rPr>
        <w:t>5</w:t>
      </w:r>
      <w:r w:rsidRPr="0081090D">
        <w:rPr>
          <w:rFonts w:ascii="Cambria" w:eastAsia="Calibri" w:hAnsi="Cambria" w:cs="Cambria"/>
          <w:sz w:val="24"/>
          <w:szCs w:val="24"/>
        </w:rPr>
        <w:t>-K</w:t>
      </w:r>
      <w:r w:rsidRPr="0081090D">
        <w:rPr>
          <w:rFonts w:ascii="Cambria" w:eastAsia="Calibri" w:hAnsi="Cambria" w:cs="Cambria"/>
          <w:sz w:val="24"/>
          <w:szCs w:val="24"/>
          <w:vertAlign w:val="subscript"/>
        </w:rPr>
        <w:t>2</w:t>
      </w:r>
      <w:r w:rsidRPr="0081090D">
        <w:rPr>
          <w:rFonts w:ascii="Cambria" w:eastAsia="Calibri" w:hAnsi="Cambria" w:cs="Cambria"/>
          <w:sz w:val="24"/>
          <w:szCs w:val="24"/>
        </w:rPr>
        <w:t>O).</w:t>
      </w:r>
    </w:p>
    <w:p w14:paraId="1C3A2962"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Seedless watermelon and super pollinizer transplants were established on March 10 in a single row with seedless plant spaced every 48 inches and a super pollinizer was planted between every second and third plant in the same row. Irrigation scheduling was set based on a 3.5-foot Sentek EnviroSCAN SMS (BMP Logic, Trenton, FL) installed in a representative watermelon bed in the conventional fertilizer zone. Both irrigation zones were irrigated on the same schedule. The insect and disease management programs were implemented by the grower in consultation with Extension agent input each week. No significant insect or disease problems occurred in this production area due to the effective management programs implemented.</w:t>
      </w:r>
    </w:p>
    <w:p w14:paraId="7E524287"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 xml:space="preserve">Beginning March 10, 2020 and approximately every two weeks after, soil sample collection was conducted. The frequency (every 14 days) was set to capture potential movement of N through the soil profile. In each fertilizer zone, soil samples were taken from four areas. </w:t>
      </w:r>
      <w:r w:rsidRPr="0081090D">
        <w:rPr>
          <w:rFonts w:ascii="Cambria" w:eastAsia="Calibri" w:hAnsi="Cambria" w:cs="Cambria"/>
          <w:sz w:val="24"/>
          <w:szCs w:val="24"/>
        </w:rPr>
        <w:lastRenderedPageBreak/>
        <w:t>Soil samples were taken at depths of 0-6, 6-12, 12-24 and 24-36 inches in each plot using a manual soil auger. The eight sampling dates were March 10, April 3, 15, 30, May 12, 28, June 8, and one later sampling on June 26, 11 days after the final harvest was completed. After samples were collected, they were sent to Waters Agricultural Lab for analysis on nitrate-N. Samples were ground in preparation for analysis, so any CRF polymer-coated granules would be crushed and nutrients released in the process.</w:t>
      </w:r>
    </w:p>
    <w:p w14:paraId="34CF4282"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Calibri" w:hAnsi="Cambria" w:cs="Cambria"/>
          <w:sz w:val="24"/>
          <w:szCs w:val="24"/>
        </w:rPr>
        <w:t>Leaf tissue samples were taken from each fertilizer zone four times during the season. At least 30 leaves were taken in each of the two fertilizer zones. The samples were split in half; half of the leaves were sent to Waters Agricultural Lab for whole leaf analysis, and the remaining half was used to measure nitrate-nitrogen and potassium in the petiole sap using Laqua Twin ion selective meters (Spectrum Technologies, Aurora, IL). Leaf samples were collected on April 15, April 26, May 10, and June 4.</w:t>
      </w:r>
    </w:p>
    <w:p w14:paraId="0E374CAC"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 xml:space="preserve">Soil sample data were analyzed using the Generalized Linear Mixed Model Procedure of SAS (SAS Version 9.4; SAS Inst. Inc.). A two-way analysis of variance was performed to determine significance of main effects. Means separation was used to examine differences between treatments. Whole leaf nutrient analysis and petiole sap testing are presented as observational data. </w:t>
      </w:r>
    </w:p>
    <w:p w14:paraId="7A8514FC" w14:textId="77777777" w:rsidR="0081090D" w:rsidRPr="0081090D" w:rsidRDefault="0081090D" w:rsidP="0081090D">
      <w:pPr>
        <w:spacing w:after="200" w:line="276" w:lineRule="auto"/>
        <w:rPr>
          <w:rFonts w:ascii="Cambria" w:eastAsia="Calibri" w:hAnsi="Cambria" w:cs="Cambria"/>
          <w:b/>
          <w:bCs/>
          <w:sz w:val="24"/>
          <w:szCs w:val="24"/>
        </w:rPr>
      </w:pPr>
      <w:r w:rsidRPr="0081090D">
        <w:rPr>
          <w:rFonts w:ascii="Cambria" w:eastAsia="Calibri" w:hAnsi="Cambria" w:cs="Cambria"/>
          <w:b/>
          <w:bCs/>
          <w:sz w:val="24"/>
          <w:szCs w:val="24"/>
        </w:rPr>
        <w:t>Results</w:t>
      </w:r>
    </w:p>
    <w:p w14:paraId="5E82F1B8" w14:textId="77777777" w:rsidR="0081090D" w:rsidRPr="0081090D" w:rsidRDefault="0081090D" w:rsidP="0081090D">
      <w:pPr>
        <w:spacing w:after="200" w:line="276" w:lineRule="auto"/>
        <w:rPr>
          <w:rFonts w:ascii="Cambria" w:eastAsia="Times New Roman" w:hAnsi="Cambria" w:cs="Times New Roman"/>
          <w:sz w:val="24"/>
          <w:szCs w:val="24"/>
          <w:u w:val="single"/>
        </w:rPr>
      </w:pPr>
      <w:r w:rsidRPr="0081090D">
        <w:rPr>
          <w:rFonts w:ascii="Cambria" w:eastAsia="Times New Roman" w:hAnsi="Cambria" w:cs="Times New Roman"/>
          <w:sz w:val="24"/>
          <w:szCs w:val="24"/>
          <w:u w:val="single"/>
        </w:rPr>
        <w:t>Nitrate-N Soil Samples</w:t>
      </w:r>
    </w:p>
    <w:p w14:paraId="60800884"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Results from the statistical analysis show that Nitrate-N levels at 0-6 in depth, were significantly higher when fertilized with CRF versus conventional fertilizer. These results were consistent at five samplings (Apr.15, Apr. 30, May 12, Jun. 8, and Jun. 26). This result is related to the soil sample analysis methodology. When the soil samples were ground in the initial processing step, the N would have been released and contributed to the N amount found in that sample. These results show higher levels of N in the 0-6 and 6-12-inch deep samples in the CRF plots due to this factor. Any N found in the top 12 inches of soil in the CRF plots would have been due to N both in the polymer and N released to the soil from the polymer prior to soil sampling. The total N requirement in the CRF plots was applied preplant and therefore the soil analysis shows the total seasonal N in the bed. Each time a soil sample was taken, it was taken near the previous sampling site, so new CRF materials would be included. To assess the movement of N through the soil profile, the 12-24 and 24-36-inch deep samples would only show any soluble nitrate-N in both fertilizer treatments. These deeper samples are better indicators of potential N leaching. In future research trials, it is possible to only capture the released nitrate-N outside of the polymer coated granules, by changing the soil sample processing to include a filtration step to capture the polymers before assessing the nitrate-N amount.</w:t>
      </w:r>
    </w:p>
    <w:p w14:paraId="2AD3A6A4"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At samplings Apr.15, Apr. 30, and May 12, the interaction between fertilizer treatment and depth was significant. For all three dates, results from 0-6 in depth fertilized with CRF showed significantly higher levels of nitrate-N than any other combination of fertilizer treatment and soil sampling depth.</w:t>
      </w:r>
    </w:p>
    <w:p w14:paraId="14ACB0A1" w14:textId="77777777" w:rsidR="0081090D" w:rsidRPr="0081090D" w:rsidRDefault="0081090D" w:rsidP="0081090D">
      <w:pPr>
        <w:spacing w:after="200" w:line="276" w:lineRule="auto"/>
        <w:rPr>
          <w:rFonts w:ascii="Cambria" w:eastAsia="Calibri" w:hAnsi="Cambria" w:cs="Cambria"/>
          <w:sz w:val="24"/>
          <w:szCs w:val="24"/>
        </w:rPr>
      </w:pPr>
      <w:r w:rsidRPr="0081090D">
        <w:rPr>
          <w:rFonts w:ascii="Cambria" w:eastAsia="Times New Roman" w:hAnsi="Cambria" w:cs="Times New Roman"/>
          <w:sz w:val="24"/>
          <w:szCs w:val="24"/>
        </w:rPr>
        <w:t xml:space="preserve">Figure 1 shows </w:t>
      </w:r>
      <w:r w:rsidRPr="0081090D">
        <w:rPr>
          <w:rFonts w:ascii="Cambria" w:eastAsia="Calibri" w:hAnsi="Cambria" w:cs="Cambria"/>
          <w:sz w:val="24"/>
          <w:szCs w:val="24"/>
        </w:rPr>
        <w:t xml:space="preserve">movement of nitrate-N through the soil profile over time, for each sampling depth. The deeper soil samples (12 to 36 inches), show very similar levels of nitrate-N in both conventional and CRF plots. These deeper samples also show very low levels of nitrate-N even toward the end of the season. </w:t>
      </w:r>
    </w:p>
    <w:p w14:paraId="4000DC2B" w14:textId="77777777" w:rsidR="0081090D" w:rsidRPr="0081090D" w:rsidRDefault="0081090D" w:rsidP="0081090D">
      <w:pPr>
        <w:spacing w:after="200" w:line="276" w:lineRule="auto"/>
        <w:rPr>
          <w:rFonts w:ascii="Cambria" w:eastAsia="Times New Roman" w:hAnsi="Cambria" w:cs="Times New Roman"/>
          <w:sz w:val="24"/>
          <w:szCs w:val="24"/>
          <w:u w:val="single"/>
        </w:rPr>
      </w:pPr>
    </w:p>
    <w:p w14:paraId="7C0B22A0" w14:textId="77777777" w:rsidR="0081090D" w:rsidRPr="0081090D" w:rsidRDefault="0081090D" w:rsidP="0081090D">
      <w:pPr>
        <w:spacing w:after="200" w:line="276" w:lineRule="auto"/>
        <w:rPr>
          <w:rFonts w:ascii="Cambria" w:eastAsia="Times New Roman" w:hAnsi="Cambria" w:cs="Times New Roman"/>
          <w:sz w:val="24"/>
          <w:szCs w:val="24"/>
          <w:u w:val="single"/>
        </w:rPr>
      </w:pPr>
      <w:r w:rsidRPr="0081090D">
        <w:rPr>
          <w:rFonts w:ascii="Cambria" w:eastAsia="Times New Roman" w:hAnsi="Cambria" w:cs="Times New Roman"/>
          <w:sz w:val="24"/>
          <w:szCs w:val="24"/>
          <w:u w:val="single"/>
        </w:rPr>
        <w:t>Leaf Tissue Nutrient Analysis</w:t>
      </w:r>
    </w:p>
    <w:p w14:paraId="523C5F7E"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 xml:space="preserve">Table 1 shows the results from the leaf tissue nutrient analysis, performed four times during the season. Table 2 shows the ranges of adequate nutrient levels for watermelons. </w:t>
      </w:r>
    </w:p>
    <w:p w14:paraId="712838EA"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Nitrogen levels were high for both treatments, in all four sampling dates. Phosphorus and potassium levels were adequate for both treatments, in all four samplings. Levels of Mg, Ca, S, and Cu were adequate throughout the season for both treatments. Boron levels were low for the CRF treatment at samplings April 30</w:t>
      </w:r>
      <w:r w:rsidRPr="0081090D">
        <w:rPr>
          <w:rFonts w:ascii="Cambria" w:eastAsia="Times New Roman" w:hAnsi="Cambria" w:cs="Times New Roman"/>
          <w:sz w:val="24"/>
          <w:szCs w:val="24"/>
          <w:vertAlign w:val="superscript"/>
        </w:rPr>
        <w:t>th</w:t>
      </w:r>
      <w:r w:rsidRPr="0081090D">
        <w:rPr>
          <w:rFonts w:ascii="Cambria" w:eastAsia="Times New Roman" w:hAnsi="Cambria" w:cs="Times New Roman"/>
          <w:sz w:val="24"/>
          <w:szCs w:val="24"/>
        </w:rPr>
        <w:t xml:space="preserve"> and May 12</w:t>
      </w:r>
      <w:r w:rsidRPr="0081090D">
        <w:rPr>
          <w:rFonts w:ascii="Cambria" w:eastAsia="Times New Roman" w:hAnsi="Cambria" w:cs="Times New Roman"/>
          <w:sz w:val="24"/>
          <w:szCs w:val="24"/>
          <w:vertAlign w:val="superscript"/>
        </w:rPr>
        <w:t>th</w:t>
      </w:r>
      <w:r w:rsidRPr="0081090D">
        <w:rPr>
          <w:rFonts w:ascii="Cambria" w:eastAsia="Times New Roman" w:hAnsi="Cambria" w:cs="Times New Roman"/>
          <w:sz w:val="24"/>
          <w:szCs w:val="24"/>
        </w:rPr>
        <w:t>. Levels of Zn, Mn, and Fe were high for both treatments. High Zn and Mn was due to application of mancozeb fungicide.</w:t>
      </w:r>
    </w:p>
    <w:p w14:paraId="2F1C688A" w14:textId="77777777" w:rsidR="0081090D" w:rsidRPr="0081090D" w:rsidRDefault="0081090D" w:rsidP="0081090D">
      <w:pPr>
        <w:spacing w:after="200" w:line="276" w:lineRule="auto"/>
        <w:rPr>
          <w:rFonts w:ascii="Cambria" w:eastAsia="Times New Roman" w:hAnsi="Cambria" w:cs="Times New Roman"/>
          <w:sz w:val="24"/>
          <w:szCs w:val="24"/>
          <w:u w:val="single"/>
        </w:rPr>
      </w:pPr>
      <w:r w:rsidRPr="0081090D">
        <w:rPr>
          <w:rFonts w:ascii="Cambria" w:eastAsia="Times New Roman" w:hAnsi="Cambria" w:cs="Times New Roman"/>
          <w:sz w:val="24"/>
          <w:szCs w:val="24"/>
          <w:u w:val="single"/>
        </w:rPr>
        <w:t>Petiole Sap Testing for Nitrate-N and Potassium</w:t>
      </w:r>
    </w:p>
    <w:p w14:paraId="6FE32F9A"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Figures 2 and 3 show the results of petiole sap testing over time for nitrate-N and potassium. Table 3 shows the results for petiole sap testing. Overall, the nitrate-N and potassium level in the petiole sap moved up and down in a similar fashion in both fertilizer treatments throughout the preharvest part of the season.</w:t>
      </w:r>
    </w:p>
    <w:p w14:paraId="79A60CFF"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 xml:space="preserve">According to the adequate ranges for watermelon as shown in Table 4, the conventional program started off with adequate levels of nitrate-N, followed by two samplings of low levels. Nitrate-N concentration increased towards the end of May, reaching a borderline high level and ending the season with adequate levels. In relation to potassium levels for the conventional program, potassium concentration was adequate until May 22 sampling, when concentrations went up to a higher than adequate level. </w:t>
      </w:r>
    </w:p>
    <w:p w14:paraId="724D7BC2"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Petiole sap results for the CRF program showed adequate levels of nitrate-N for the first two samplings, followed by a low level at May 10. Nitrate-N concentration increased after that to higher than adequate levels on the last two samplings. Potassium concentrations were adequate for all samplings with the exception of the last one, when potassium level was found to be higher than adequate, despite no increase in K application since last sampling.</w:t>
      </w:r>
    </w:p>
    <w:p w14:paraId="2191BBB0"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Figures 2 and 3 show the sharp decrease in levels on nitrate-N and potassium that occurred around May 10. The decrease in concentration of both nutrients may be attributed to rapid fruit development and plant growth with a high fruit yield potential. Leaching rain events can typically affect the concentration of such nutrients in fresh petiole sap testing, however, no leaching rain event was identified during that time (May 1</w:t>
      </w:r>
      <w:r w:rsidRPr="0081090D">
        <w:rPr>
          <w:rFonts w:ascii="Cambria" w:eastAsia="Times New Roman" w:hAnsi="Cambria" w:cs="Times New Roman"/>
          <w:sz w:val="24"/>
          <w:szCs w:val="24"/>
          <w:vertAlign w:val="superscript"/>
        </w:rPr>
        <w:t>st</w:t>
      </w:r>
      <w:r w:rsidRPr="0081090D">
        <w:rPr>
          <w:rFonts w:ascii="Cambria" w:eastAsia="Times New Roman" w:hAnsi="Cambria" w:cs="Times New Roman"/>
          <w:sz w:val="24"/>
          <w:szCs w:val="24"/>
        </w:rPr>
        <w:t xml:space="preserve"> to May 10</w:t>
      </w:r>
      <w:r w:rsidRPr="0081090D">
        <w:rPr>
          <w:rFonts w:ascii="Cambria" w:eastAsia="Times New Roman" w:hAnsi="Cambria" w:cs="Times New Roman"/>
          <w:sz w:val="24"/>
          <w:szCs w:val="24"/>
          <w:vertAlign w:val="superscript"/>
        </w:rPr>
        <w:t>th</w:t>
      </w:r>
      <w:r w:rsidRPr="0081090D">
        <w:rPr>
          <w:rFonts w:ascii="Cambria" w:eastAsia="Times New Roman" w:hAnsi="Cambria" w:cs="Times New Roman"/>
          <w:sz w:val="24"/>
          <w:szCs w:val="24"/>
        </w:rPr>
        <w:t>). This is also verified by the soil moisture sensor installed at the trial plot (Figure 4), in association with the FAWN weather stations of Live Oak and Mayo, FL (data not shown). The soil moisture sensor data (Figure 4) also show no significant sharp increase in soil moisture level at the 20-inch depth. Significant leaching events would be exhibited by a sharp peak in the 20-inch depth line, but no such reading is seen. This interpretation and summary of the soil moisture data lends support to the assessment that no significant leaching occurred during this entire season from either a leaching rain event or any over-irrigation.</w:t>
      </w:r>
    </w:p>
    <w:p w14:paraId="6EDA0C4D" w14:textId="77777777" w:rsidR="0081090D" w:rsidRPr="0081090D" w:rsidRDefault="0081090D" w:rsidP="0081090D">
      <w:pPr>
        <w:spacing w:after="200" w:line="276" w:lineRule="auto"/>
        <w:rPr>
          <w:rFonts w:ascii="Cambria" w:eastAsia="Times New Roman" w:hAnsi="Cambria" w:cs="Times New Roman"/>
          <w:sz w:val="24"/>
          <w:szCs w:val="24"/>
          <w:u w:val="single"/>
        </w:rPr>
      </w:pPr>
      <w:r w:rsidRPr="0081090D">
        <w:rPr>
          <w:rFonts w:ascii="Cambria" w:eastAsia="Times New Roman" w:hAnsi="Cambria" w:cs="Times New Roman"/>
          <w:sz w:val="24"/>
          <w:szCs w:val="24"/>
          <w:u w:val="single"/>
        </w:rPr>
        <w:t>Yield</w:t>
      </w:r>
    </w:p>
    <w:p w14:paraId="3E16DD1C"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 xml:space="preserve">Harvest data was not taken in this trial largely due to limited labor availability and travel restrictions due to COVID-19 on the part of the researcher. However, observations made during the season by researchers and the farmer indicated there was no apparent difference in yield when the two treatment areas were compared. Both areas resulted in very high yields, over 60,000 lbs per acre. The similarities in nutrient content in petiole sap and whole leaf analysis would also support this observation of similar yields between treatments. It is also noted by the researcher that no differences in plant growth or fruit set were ever noticed in any farm visit, which happened every two weeks. </w:t>
      </w:r>
    </w:p>
    <w:p w14:paraId="0E2D4DD2" w14:textId="77777777" w:rsidR="0081090D" w:rsidRPr="0081090D" w:rsidRDefault="0081090D" w:rsidP="0081090D">
      <w:pPr>
        <w:spacing w:after="200" w:line="276" w:lineRule="auto"/>
        <w:rPr>
          <w:rFonts w:ascii="Cambria" w:eastAsia="Times New Roman" w:hAnsi="Cambria" w:cs="Times New Roman"/>
          <w:b/>
          <w:bCs/>
          <w:sz w:val="24"/>
          <w:szCs w:val="24"/>
        </w:rPr>
      </w:pPr>
      <w:r w:rsidRPr="0081090D">
        <w:rPr>
          <w:rFonts w:ascii="Cambria" w:eastAsia="Times New Roman" w:hAnsi="Cambria" w:cs="Times New Roman"/>
          <w:b/>
          <w:bCs/>
          <w:sz w:val="24"/>
          <w:szCs w:val="24"/>
        </w:rPr>
        <w:t>Conclusions</w:t>
      </w:r>
    </w:p>
    <w:p w14:paraId="7B0F322C"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 xml:space="preserve">The results of this study indicate both conventional and CRF programs can be used in a well-managed production system and result in very little or no nitrate-N leaching below the watermelon root zone throughout the season, and at the same time, attain very high yield. The seasonal soil moisture data show there was no potentially leaching rain event until the first week in June, well into the harvest season, and there was no over-irrigation event during the season. In years when the potential of N leaching would be higher from one or both of these events, the level of N at the deeper levels may be different, however, the high level of BMP adoption on this farm minimized the likelihood of leaching from occurring. </w:t>
      </w:r>
      <w:r w:rsidRPr="0081090D">
        <w:rPr>
          <w:rFonts w:ascii="Calibri" w:eastAsia="Calibri" w:hAnsi="Calibri" w:cs="Times New Roman"/>
        </w:rPr>
        <w:t xml:space="preserve"> </w:t>
      </w:r>
      <w:r w:rsidRPr="0081090D">
        <w:rPr>
          <w:rFonts w:ascii="Cambria" w:eastAsia="Times New Roman" w:hAnsi="Cambria" w:cs="Times New Roman"/>
          <w:sz w:val="24"/>
          <w:szCs w:val="24"/>
        </w:rPr>
        <w:t xml:space="preserve">This collective data verifies the effectiveness of well-managed BMP practices for irrigation and nutrient management implemented on this watermelon farm.  </w:t>
      </w:r>
    </w:p>
    <w:p w14:paraId="1104CDBB" w14:textId="77777777" w:rsidR="0081090D" w:rsidRPr="0081090D" w:rsidRDefault="0081090D" w:rsidP="0081090D">
      <w:pPr>
        <w:spacing w:after="200" w:line="276" w:lineRule="auto"/>
        <w:rPr>
          <w:rFonts w:ascii="Cambria" w:eastAsia="Times New Roman" w:hAnsi="Cambria" w:cs="Times New Roman"/>
          <w:sz w:val="24"/>
          <w:szCs w:val="24"/>
        </w:rPr>
      </w:pPr>
    </w:p>
    <w:p w14:paraId="00552946" w14:textId="77777777" w:rsidR="0081090D" w:rsidRPr="0081090D" w:rsidRDefault="0081090D" w:rsidP="0081090D">
      <w:pPr>
        <w:spacing w:after="200" w:line="276" w:lineRule="auto"/>
        <w:rPr>
          <w:rFonts w:ascii="Cambria" w:eastAsia="Times New Roman" w:hAnsi="Cambria" w:cs="Times New Roman"/>
          <w:sz w:val="24"/>
          <w:szCs w:val="24"/>
        </w:rPr>
      </w:pPr>
    </w:p>
    <w:p w14:paraId="5E1D0798"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br w:type="page"/>
      </w:r>
    </w:p>
    <w:p w14:paraId="1AB92FA9"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Figure 1. Nitrate N found in soil samples collected at four different depths during the growing season.</w:t>
      </w:r>
      <w:r w:rsidRPr="0081090D">
        <w:rPr>
          <w:rFonts w:ascii="Cambria" w:eastAsia="Times New Roman" w:hAnsi="Cambria" w:cs="Times New Roman"/>
          <w:sz w:val="24"/>
          <w:szCs w:val="24"/>
          <w:vertAlign w:val="superscript"/>
        </w:rPr>
        <w:t>z</w:t>
      </w:r>
    </w:p>
    <w:p w14:paraId="4D66154D" w14:textId="77777777" w:rsidR="0081090D" w:rsidRPr="0081090D" w:rsidRDefault="0081090D" w:rsidP="0081090D">
      <w:pPr>
        <w:spacing w:after="200" w:line="276" w:lineRule="auto"/>
        <w:jc w:val="center"/>
        <w:rPr>
          <w:rFonts w:ascii="Cambria" w:eastAsia="Times New Roman" w:hAnsi="Cambria" w:cs="Times New Roman"/>
          <w:sz w:val="24"/>
          <w:szCs w:val="24"/>
        </w:rPr>
      </w:pPr>
      <w:r w:rsidRPr="0081090D">
        <w:rPr>
          <w:rFonts w:ascii="Cambria" w:eastAsia="Times New Roman" w:hAnsi="Cambria" w:cs="Times New Roman"/>
          <w:noProof/>
          <w:sz w:val="24"/>
          <w:szCs w:val="24"/>
        </w:rPr>
        <w:drawing>
          <wp:inline distT="0" distB="0" distL="0" distR="0" wp14:anchorId="20376DBF" wp14:editId="0979F994">
            <wp:extent cx="5384856" cy="70802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846" cy="7138091"/>
                    </a:xfrm>
                    <a:prstGeom prst="rect">
                      <a:avLst/>
                    </a:prstGeom>
                    <a:noFill/>
                  </pic:spPr>
                </pic:pic>
              </a:graphicData>
            </a:graphic>
          </wp:inline>
        </w:drawing>
      </w:r>
    </w:p>
    <w:p w14:paraId="604BF992"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vertAlign w:val="superscript"/>
        </w:rPr>
        <w:t>z</w:t>
      </w:r>
      <w:r w:rsidRPr="0081090D">
        <w:rPr>
          <w:rFonts w:ascii="Cambria" w:eastAsia="Times New Roman" w:hAnsi="Cambria" w:cs="Times New Roman"/>
        </w:rPr>
        <w:t>Note the photo shows the typical soil profile in North Florida, in this case, the profile is under a corn crop (Barrett, 2019).</w:t>
      </w:r>
      <w:r w:rsidRPr="0081090D">
        <w:rPr>
          <w:rFonts w:ascii="Cambria" w:eastAsia="Times New Roman" w:hAnsi="Cambria" w:cs="Times New Roman"/>
          <w:sz w:val="24"/>
          <w:szCs w:val="24"/>
        </w:rPr>
        <w:br w:type="page"/>
      </w:r>
    </w:p>
    <w:p w14:paraId="5DB244A2"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Figure 2. Petiole sap testing results over time for nitrate-N.</w:t>
      </w:r>
    </w:p>
    <w:p w14:paraId="1AFFD897" w14:textId="77777777" w:rsidR="0081090D" w:rsidRPr="0081090D" w:rsidRDefault="0081090D" w:rsidP="0081090D">
      <w:pPr>
        <w:spacing w:after="200" w:line="276" w:lineRule="auto"/>
        <w:jc w:val="center"/>
        <w:rPr>
          <w:rFonts w:ascii="Cambria" w:eastAsia="Times New Roman" w:hAnsi="Cambria" w:cs="Times New Roman"/>
          <w:sz w:val="24"/>
          <w:szCs w:val="24"/>
        </w:rPr>
      </w:pPr>
      <w:r w:rsidRPr="0081090D">
        <w:rPr>
          <w:rFonts w:ascii="Calibri" w:eastAsia="Calibri" w:hAnsi="Calibri" w:cs="Times New Roman"/>
          <w:noProof/>
        </w:rPr>
        <w:drawing>
          <wp:inline distT="0" distB="0" distL="0" distR="0" wp14:anchorId="2768574B" wp14:editId="68E99862">
            <wp:extent cx="4572000" cy="2743200"/>
            <wp:effectExtent l="0" t="0" r="0" b="0"/>
            <wp:docPr id="2" name="Chart 2">
              <a:extLst xmlns:a="http://schemas.openxmlformats.org/drawingml/2006/main">
                <a:ext uri="{FF2B5EF4-FFF2-40B4-BE49-F238E27FC236}">
                  <a16:creationId xmlns:a16="http://schemas.microsoft.com/office/drawing/2014/main" id="{4FCBEAEC-E111-4578-8277-DDDB506A9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24D53F" w14:textId="77777777" w:rsidR="0081090D" w:rsidRPr="0081090D" w:rsidRDefault="0081090D" w:rsidP="0081090D">
      <w:pPr>
        <w:spacing w:after="200" w:line="276" w:lineRule="auto"/>
        <w:jc w:val="center"/>
        <w:rPr>
          <w:rFonts w:ascii="Cambria" w:eastAsia="Times New Roman" w:hAnsi="Cambria" w:cs="Times New Roman"/>
          <w:sz w:val="24"/>
          <w:szCs w:val="24"/>
        </w:rPr>
      </w:pPr>
    </w:p>
    <w:p w14:paraId="7415BB28"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Figure 3. Petiole sap testing results over time for potassium.</w:t>
      </w:r>
    </w:p>
    <w:p w14:paraId="00B9F59B" w14:textId="77777777" w:rsidR="0081090D" w:rsidRPr="0081090D" w:rsidRDefault="0081090D" w:rsidP="0081090D">
      <w:pPr>
        <w:spacing w:after="200" w:line="276" w:lineRule="auto"/>
        <w:jc w:val="center"/>
        <w:rPr>
          <w:rFonts w:ascii="Cambria" w:eastAsia="Times New Roman" w:hAnsi="Cambria" w:cs="Times New Roman"/>
          <w:sz w:val="24"/>
          <w:szCs w:val="24"/>
        </w:rPr>
      </w:pPr>
      <w:r w:rsidRPr="0081090D">
        <w:rPr>
          <w:rFonts w:ascii="Calibri" w:eastAsia="Calibri" w:hAnsi="Calibri" w:cs="Times New Roman"/>
          <w:noProof/>
        </w:rPr>
        <w:drawing>
          <wp:inline distT="0" distB="0" distL="0" distR="0" wp14:anchorId="6487D405" wp14:editId="49DDBDA6">
            <wp:extent cx="4572000" cy="2743200"/>
            <wp:effectExtent l="0" t="0" r="0" b="0"/>
            <wp:docPr id="6" name="Chart 6">
              <a:extLst xmlns:a="http://schemas.openxmlformats.org/drawingml/2006/main">
                <a:ext uri="{FF2B5EF4-FFF2-40B4-BE49-F238E27FC236}">
                  <a16:creationId xmlns:a16="http://schemas.microsoft.com/office/drawing/2014/main" id="{24CF5D09-17B0-4957-ABC9-3C0B486EC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0FE963" w14:textId="77777777" w:rsidR="0081090D" w:rsidRPr="0081090D" w:rsidRDefault="0081090D" w:rsidP="0081090D">
      <w:pPr>
        <w:spacing w:after="200" w:line="276" w:lineRule="auto"/>
        <w:rPr>
          <w:rFonts w:ascii="Cambria" w:eastAsia="Times New Roman" w:hAnsi="Cambria" w:cs="Times New Roman"/>
          <w:sz w:val="24"/>
          <w:szCs w:val="24"/>
        </w:rPr>
      </w:pPr>
    </w:p>
    <w:p w14:paraId="72797000" w14:textId="77777777" w:rsidR="0081090D" w:rsidRPr="0081090D" w:rsidRDefault="0081090D" w:rsidP="0081090D">
      <w:pPr>
        <w:spacing w:after="200" w:line="276" w:lineRule="auto"/>
        <w:rPr>
          <w:rFonts w:ascii="Cambria" w:eastAsia="Times New Roman" w:hAnsi="Cambria" w:cs="Times New Roman"/>
          <w:sz w:val="24"/>
          <w:szCs w:val="24"/>
        </w:rPr>
        <w:sectPr w:rsidR="0081090D" w:rsidRPr="0081090D">
          <w:pgSz w:w="12240" w:h="15840"/>
          <w:pgMar w:top="1440" w:right="1440" w:bottom="1440" w:left="1440" w:header="720" w:footer="720" w:gutter="0"/>
          <w:cols w:space="720"/>
          <w:docGrid w:linePitch="360"/>
        </w:sectPr>
      </w:pPr>
    </w:p>
    <w:p w14:paraId="37CAB11A"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Figure 4. Soil moisture content during the growing season</w:t>
      </w:r>
      <w:r w:rsidRPr="0081090D">
        <w:rPr>
          <w:rFonts w:ascii="Cambria" w:eastAsia="Times New Roman" w:hAnsi="Cambria" w:cs="Times New Roman"/>
          <w:sz w:val="24"/>
          <w:szCs w:val="24"/>
          <w:vertAlign w:val="superscript"/>
        </w:rPr>
        <w:footnoteReference w:id="2"/>
      </w:r>
      <w:r w:rsidRPr="0081090D">
        <w:rPr>
          <w:rFonts w:ascii="Cambria" w:eastAsia="Times New Roman" w:hAnsi="Cambria" w:cs="Times New Roman"/>
          <w:sz w:val="24"/>
          <w:szCs w:val="24"/>
        </w:rPr>
        <w:t xml:space="preserve">. </w:t>
      </w:r>
    </w:p>
    <w:p w14:paraId="75F90B15" w14:textId="77777777" w:rsidR="0081090D" w:rsidRPr="0081090D" w:rsidRDefault="0081090D" w:rsidP="0081090D">
      <w:pPr>
        <w:spacing w:after="200" w:line="276" w:lineRule="auto"/>
        <w:rPr>
          <w:rFonts w:ascii="Cambria" w:eastAsia="Times New Roman" w:hAnsi="Cambria" w:cs="Times New Roman"/>
          <w:sz w:val="24"/>
          <w:szCs w:val="24"/>
        </w:rPr>
      </w:pPr>
    </w:p>
    <w:p w14:paraId="6E2B2042" w14:textId="77777777" w:rsidR="0081090D" w:rsidRPr="0081090D" w:rsidRDefault="0081090D" w:rsidP="0081090D">
      <w:pPr>
        <w:spacing w:after="200" w:line="276" w:lineRule="auto"/>
        <w:jc w:val="center"/>
        <w:rPr>
          <w:rFonts w:ascii="Cambria" w:eastAsia="Times New Roman" w:hAnsi="Cambria" w:cs="Times New Roman"/>
          <w:sz w:val="24"/>
          <w:szCs w:val="24"/>
        </w:rPr>
      </w:pPr>
      <w:r w:rsidRPr="0081090D">
        <w:rPr>
          <w:rFonts w:ascii="Cambria" w:eastAsia="Times New Roman" w:hAnsi="Cambria" w:cs="Times New Roman"/>
          <w:noProof/>
          <w:sz w:val="24"/>
          <w:szCs w:val="24"/>
        </w:rPr>
        <w:drawing>
          <wp:inline distT="0" distB="0" distL="0" distR="0" wp14:anchorId="5AC1707B" wp14:editId="4A04FD18">
            <wp:extent cx="8906216" cy="1606164"/>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s graph.PNG"/>
                    <pic:cNvPicPr/>
                  </pic:nvPicPr>
                  <pic:blipFill>
                    <a:blip r:embed="rId15">
                      <a:extLst>
                        <a:ext uri="{28A0092B-C50C-407E-A947-70E740481C1C}">
                          <a14:useLocalDpi xmlns:a14="http://schemas.microsoft.com/office/drawing/2010/main" val="0"/>
                        </a:ext>
                      </a:extLst>
                    </a:blip>
                    <a:stretch>
                      <a:fillRect/>
                    </a:stretch>
                  </pic:blipFill>
                  <pic:spPr>
                    <a:xfrm>
                      <a:off x="0" y="0"/>
                      <a:ext cx="8941105" cy="1612456"/>
                    </a:xfrm>
                    <a:prstGeom prst="rect">
                      <a:avLst/>
                    </a:prstGeom>
                  </pic:spPr>
                </pic:pic>
              </a:graphicData>
            </a:graphic>
          </wp:inline>
        </w:drawing>
      </w:r>
    </w:p>
    <w:p w14:paraId="07817918" w14:textId="77777777" w:rsidR="0081090D" w:rsidRPr="0081090D" w:rsidRDefault="0081090D" w:rsidP="0081090D">
      <w:pPr>
        <w:spacing w:after="200" w:line="276" w:lineRule="auto"/>
        <w:rPr>
          <w:rFonts w:ascii="Cambria" w:eastAsia="Times New Roman" w:hAnsi="Cambria" w:cs="Times New Roman"/>
          <w:sz w:val="24"/>
          <w:szCs w:val="24"/>
        </w:rPr>
      </w:pPr>
    </w:p>
    <w:p w14:paraId="0D0F3D9A" w14:textId="77777777" w:rsidR="0081090D" w:rsidRPr="0081090D" w:rsidRDefault="0081090D" w:rsidP="0081090D">
      <w:pPr>
        <w:spacing w:after="200" w:line="276" w:lineRule="auto"/>
        <w:rPr>
          <w:rFonts w:ascii="Cambria" w:eastAsia="Times New Roman" w:hAnsi="Cambria" w:cs="Times New Roman"/>
          <w:sz w:val="24"/>
          <w:szCs w:val="24"/>
        </w:rPr>
      </w:pPr>
    </w:p>
    <w:p w14:paraId="1CBAF30C"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br w:type="page"/>
      </w:r>
    </w:p>
    <w:p w14:paraId="4B0ACC61"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Table 1. Results of leaf tissue analysis for four sampling dates. Lab results from Waters Agricultural Laboratories (Camilla, GA).</w:t>
      </w:r>
    </w:p>
    <w:tbl>
      <w:tblPr>
        <w:tblW w:w="12300" w:type="dxa"/>
        <w:jc w:val="center"/>
        <w:tblLook w:val="04A0" w:firstRow="1" w:lastRow="0" w:firstColumn="1" w:lastColumn="0" w:noHBand="0" w:noVBand="1"/>
      </w:tblPr>
      <w:tblGrid>
        <w:gridCol w:w="1700"/>
        <w:gridCol w:w="1463"/>
        <w:gridCol w:w="840"/>
        <w:gridCol w:w="840"/>
        <w:gridCol w:w="840"/>
        <w:gridCol w:w="840"/>
        <w:gridCol w:w="840"/>
        <w:gridCol w:w="840"/>
        <w:gridCol w:w="840"/>
        <w:gridCol w:w="840"/>
        <w:gridCol w:w="840"/>
        <w:gridCol w:w="840"/>
        <w:gridCol w:w="840"/>
      </w:tblGrid>
      <w:tr w:rsidR="0081090D" w:rsidRPr="0081090D" w14:paraId="4CA111AF" w14:textId="77777777" w:rsidTr="008C106B">
        <w:trPr>
          <w:trHeight w:val="290"/>
          <w:jc w:val="center"/>
        </w:trPr>
        <w:tc>
          <w:tcPr>
            <w:tcW w:w="1700" w:type="dxa"/>
            <w:tcBorders>
              <w:top w:val="nil"/>
              <w:left w:val="nil"/>
              <w:bottom w:val="single" w:sz="4" w:space="0" w:color="auto"/>
              <w:right w:val="nil"/>
            </w:tcBorders>
            <w:shd w:val="clear" w:color="auto" w:fill="auto"/>
            <w:noWrap/>
            <w:vAlign w:val="bottom"/>
            <w:hideMark/>
          </w:tcPr>
          <w:p w14:paraId="784F87D7"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1360" w:type="dxa"/>
            <w:tcBorders>
              <w:top w:val="nil"/>
              <w:left w:val="nil"/>
              <w:bottom w:val="single" w:sz="4" w:space="0" w:color="auto"/>
              <w:right w:val="nil"/>
            </w:tcBorders>
            <w:shd w:val="clear" w:color="auto" w:fill="auto"/>
            <w:noWrap/>
            <w:vAlign w:val="bottom"/>
            <w:hideMark/>
          </w:tcPr>
          <w:p w14:paraId="1E1B44CF"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172B7CDD"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7A61DE95"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17A4F218"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2DE82EDA"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3F5A3A83"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03837ADA"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660CA6B4"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0E64395C"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35F93C77"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359163FE"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bottom"/>
            <w:hideMark/>
          </w:tcPr>
          <w:p w14:paraId="25B5DB0C" w14:textId="77777777" w:rsidR="0081090D" w:rsidRPr="0081090D" w:rsidRDefault="0081090D" w:rsidP="0081090D">
            <w:pPr>
              <w:spacing w:after="0" w:line="240" w:lineRule="auto"/>
              <w:jc w:val="center"/>
              <w:rPr>
                <w:rFonts w:ascii="Calibri" w:eastAsia="Times New Roman" w:hAnsi="Calibri" w:cs="Calibri"/>
                <w:color w:val="000000"/>
              </w:rPr>
            </w:pPr>
            <w:r w:rsidRPr="0081090D">
              <w:rPr>
                <w:rFonts w:ascii="Calibri" w:eastAsia="Times New Roman" w:hAnsi="Calibri" w:cs="Calibri"/>
                <w:color w:val="000000"/>
              </w:rPr>
              <w:t> </w:t>
            </w:r>
          </w:p>
        </w:tc>
      </w:tr>
      <w:tr w:rsidR="0081090D" w:rsidRPr="0081090D" w14:paraId="4E697D6E" w14:textId="77777777" w:rsidTr="008C106B">
        <w:trPr>
          <w:trHeight w:val="400"/>
          <w:jc w:val="center"/>
        </w:trPr>
        <w:tc>
          <w:tcPr>
            <w:tcW w:w="1700" w:type="dxa"/>
            <w:vMerge w:val="restart"/>
            <w:tcBorders>
              <w:top w:val="nil"/>
              <w:left w:val="nil"/>
              <w:bottom w:val="single" w:sz="4" w:space="0" w:color="000000"/>
              <w:right w:val="nil"/>
            </w:tcBorders>
            <w:shd w:val="clear" w:color="auto" w:fill="auto"/>
            <w:vAlign w:val="center"/>
            <w:hideMark/>
          </w:tcPr>
          <w:p w14:paraId="5A30348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Sampling Date</w:t>
            </w:r>
          </w:p>
        </w:tc>
        <w:tc>
          <w:tcPr>
            <w:tcW w:w="1360" w:type="dxa"/>
            <w:vMerge w:val="restart"/>
            <w:tcBorders>
              <w:top w:val="nil"/>
              <w:left w:val="nil"/>
              <w:bottom w:val="single" w:sz="4" w:space="0" w:color="000000"/>
              <w:right w:val="nil"/>
            </w:tcBorders>
            <w:shd w:val="clear" w:color="auto" w:fill="auto"/>
            <w:vAlign w:val="center"/>
            <w:hideMark/>
          </w:tcPr>
          <w:p w14:paraId="065AE8B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Fertilizer Treatment</w:t>
            </w:r>
          </w:p>
        </w:tc>
        <w:tc>
          <w:tcPr>
            <w:tcW w:w="9240" w:type="dxa"/>
            <w:gridSpan w:val="11"/>
            <w:tcBorders>
              <w:top w:val="single" w:sz="4" w:space="0" w:color="auto"/>
              <w:left w:val="nil"/>
              <w:bottom w:val="single" w:sz="4" w:space="0" w:color="auto"/>
              <w:right w:val="nil"/>
            </w:tcBorders>
            <w:shd w:val="clear" w:color="auto" w:fill="auto"/>
            <w:noWrap/>
            <w:vAlign w:val="center"/>
            <w:hideMark/>
          </w:tcPr>
          <w:p w14:paraId="689F9D7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Leaf Tissue Nutrients</w:t>
            </w:r>
          </w:p>
        </w:tc>
      </w:tr>
      <w:tr w:rsidR="0081090D" w:rsidRPr="0081090D" w14:paraId="0474565A" w14:textId="77777777" w:rsidTr="008C106B">
        <w:trPr>
          <w:trHeight w:val="410"/>
          <w:jc w:val="center"/>
        </w:trPr>
        <w:tc>
          <w:tcPr>
            <w:tcW w:w="1700" w:type="dxa"/>
            <w:vMerge/>
            <w:tcBorders>
              <w:top w:val="nil"/>
              <w:left w:val="nil"/>
              <w:bottom w:val="single" w:sz="4" w:space="0" w:color="000000"/>
              <w:right w:val="nil"/>
            </w:tcBorders>
            <w:vAlign w:val="center"/>
            <w:hideMark/>
          </w:tcPr>
          <w:p w14:paraId="3FFDC791" w14:textId="77777777" w:rsidR="0081090D" w:rsidRPr="0081090D" w:rsidRDefault="0081090D" w:rsidP="0081090D">
            <w:pPr>
              <w:spacing w:after="0" w:line="240" w:lineRule="auto"/>
              <w:rPr>
                <w:rFonts w:ascii="Cambria" w:eastAsia="Times New Roman" w:hAnsi="Cambria" w:cs="Calibri"/>
                <w:color w:val="000000"/>
              </w:rPr>
            </w:pPr>
          </w:p>
        </w:tc>
        <w:tc>
          <w:tcPr>
            <w:tcW w:w="1360" w:type="dxa"/>
            <w:vMerge/>
            <w:tcBorders>
              <w:top w:val="nil"/>
              <w:left w:val="nil"/>
              <w:bottom w:val="single" w:sz="4" w:space="0" w:color="000000"/>
              <w:right w:val="nil"/>
            </w:tcBorders>
            <w:vAlign w:val="center"/>
            <w:hideMark/>
          </w:tcPr>
          <w:p w14:paraId="05DDE104" w14:textId="77777777" w:rsidR="0081090D" w:rsidRPr="0081090D" w:rsidRDefault="0081090D" w:rsidP="0081090D">
            <w:pPr>
              <w:spacing w:after="0" w:line="240" w:lineRule="auto"/>
              <w:rPr>
                <w:rFonts w:ascii="Cambria" w:eastAsia="Times New Roman" w:hAnsi="Cambria" w:cs="Calibri"/>
                <w:color w:val="000000"/>
              </w:rPr>
            </w:pPr>
          </w:p>
        </w:tc>
        <w:tc>
          <w:tcPr>
            <w:tcW w:w="840" w:type="dxa"/>
            <w:tcBorders>
              <w:top w:val="nil"/>
              <w:left w:val="nil"/>
              <w:bottom w:val="nil"/>
              <w:right w:val="nil"/>
            </w:tcBorders>
            <w:shd w:val="clear" w:color="auto" w:fill="auto"/>
            <w:noWrap/>
            <w:vAlign w:val="bottom"/>
            <w:hideMark/>
          </w:tcPr>
          <w:p w14:paraId="2C0E1A0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N</w:t>
            </w:r>
          </w:p>
        </w:tc>
        <w:tc>
          <w:tcPr>
            <w:tcW w:w="840" w:type="dxa"/>
            <w:tcBorders>
              <w:top w:val="nil"/>
              <w:left w:val="nil"/>
              <w:bottom w:val="nil"/>
              <w:right w:val="nil"/>
            </w:tcBorders>
            <w:shd w:val="clear" w:color="auto" w:fill="auto"/>
            <w:noWrap/>
            <w:vAlign w:val="bottom"/>
            <w:hideMark/>
          </w:tcPr>
          <w:p w14:paraId="3409C55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P</w:t>
            </w:r>
          </w:p>
        </w:tc>
        <w:tc>
          <w:tcPr>
            <w:tcW w:w="840" w:type="dxa"/>
            <w:tcBorders>
              <w:top w:val="nil"/>
              <w:left w:val="nil"/>
              <w:bottom w:val="nil"/>
              <w:right w:val="nil"/>
            </w:tcBorders>
            <w:shd w:val="clear" w:color="auto" w:fill="auto"/>
            <w:noWrap/>
            <w:vAlign w:val="bottom"/>
            <w:hideMark/>
          </w:tcPr>
          <w:p w14:paraId="75E3FD3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K</w:t>
            </w:r>
          </w:p>
        </w:tc>
        <w:tc>
          <w:tcPr>
            <w:tcW w:w="840" w:type="dxa"/>
            <w:tcBorders>
              <w:top w:val="nil"/>
              <w:left w:val="nil"/>
              <w:bottom w:val="nil"/>
              <w:right w:val="nil"/>
            </w:tcBorders>
            <w:shd w:val="clear" w:color="auto" w:fill="auto"/>
            <w:noWrap/>
            <w:vAlign w:val="bottom"/>
            <w:hideMark/>
          </w:tcPr>
          <w:p w14:paraId="4676B8D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Mg</w:t>
            </w:r>
          </w:p>
        </w:tc>
        <w:tc>
          <w:tcPr>
            <w:tcW w:w="840" w:type="dxa"/>
            <w:tcBorders>
              <w:top w:val="nil"/>
              <w:left w:val="nil"/>
              <w:bottom w:val="nil"/>
              <w:right w:val="nil"/>
            </w:tcBorders>
            <w:shd w:val="clear" w:color="auto" w:fill="auto"/>
            <w:noWrap/>
            <w:vAlign w:val="bottom"/>
            <w:hideMark/>
          </w:tcPr>
          <w:p w14:paraId="539E0C6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Ca</w:t>
            </w:r>
          </w:p>
        </w:tc>
        <w:tc>
          <w:tcPr>
            <w:tcW w:w="840" w:type="dxa"/>
            <w:tcBorders>
              <w:top w:val="nil"/>
              <w:left w:val="nil"/>
              <w:bottom w:val="nil"/>
              <w:right w:val="nil"/>
            </w:tcBorders>
            <w:shd w:val="clear" w:color="auto" w:fill="auto"/>
            <w:noWrap/>
            <w:vAlign w:val="bottom"/>
            <w:hideMark/>
          </w:tcPr>
          <w:p w14:paraId="714EFF1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S</w:t>
            </w:r>
          </w:p>
        </w:tc>
        <w:tc>
          <w:tcPr>
            <w:tcW w:w="840" w:type="dxa"/>
            <w:tcBorders>
              <w:top w:val="nil"/>
              <w:left w:val="nil"/>
              <w:bottom w:val="nil"/>
              <w:right w:val="nil"/>
            </w:tcBorders>
            <w:shd w:val="clear" w:color="auto" w:fill="auto"/>
            <w:noWrap/>
            <w:vAlign w:val="bottom"/>
            <w:hideMark/>
          </w:tcPr>
          <w:p w14:paraId="7E9D2B9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B</w:t>
            </w:r>
          </w:p>
        </w:tc>
        <w:tc>
          <w:tcPr>
            <w:tcW w:w="840" w:type="dxa"/>
            <w:tcBorders>
              <w:top w:val="nil"/>
              <w:left w:val="nil"/>
              <w:bottom w:val="nil"/>
              <w:right w:val="nil"/>
            </w:tcBorders>
            <w:shd w:val="clear" w:color="auto" w:fill="auto"/>
            <w:noWrap/>
            <w:vAlign w:val="bottom"/>
            <w:hideMark/>
          </w:tcPr>
          <w:p w14:paraId="6E9DFAA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Zn</w:t>
            </w:r>
          </w:p>
        </w:tc>
        <w:tc>
          <w:tcPr>
            <w:tcW w:w="840" w:type="dxa"/>
            <w:tcBorders>
              <w:top w:val="nil"/>
              <w:left w:val="nil"/>
              <w:bottom w:val="nil"/>
              <w:right w:val="nil"/>
            </w:tcBorders>
            <w:shd w:val="clear" w:color="auto" w:fill="auto"/>
            <w:noWrap/>
            <w:vAlign w:val="bottom"/>
            <w:hideMark/>
          </w:tcPr>
          <w:p w14:paraId="3DA688F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Mn</w:t>
            </w:r>
          </w:p>
        </w:tc>
        <w:tc>
          <w:tcPr>
            <w:tcW w:w="840" w:type="dxa"/>
            <w:tcBorders>
              <w:top w:val="nil"/>
              <w:left w:val="nil"/>
              <w:bottom w:val="nil"/>
              <w:right w:val="nil"/>
            </w:tcBorders>
            <w:shd w:val="clear" w:color="auto" w:fill="auto"/>
            <w:noWrap/>
            <w:vAlign w:val="bottom"/>
            <w:hideMark/>
          </w:tcPr>
          <w:p w14:paraId="38E0C4D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Fe</w:t>
            </w:r>
          </w:p>
        </w:tc>
        <w:tc>
          <w:tcPr>
            <w:tcW w:w="840" w:type="dxa"/>
            <w:tcBorders>
              <w:top w:val="nil"/>
              <w:left w:val="nil"/>
              <w:bottom w:val="nil"/>
              <w:right w:val="nil"/>
            </w:tcBorders>
            <w:shd w:val="clear" w:color="auto" w:fill="auto"/>
            <w:noWrap/>
            <w:vAlign w:val="bottom"/>
            <w:hideMark/>
          </w:tcPr>
          <w:p w14:paraId="21EC61E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Cu</w:t>
            </w:r>
          </w:p>
        </w:tc>
      </w:tr>
      <w:tr w:rsidR="0081090D" w:rsidRPr="0081090D" w14:paraId="66F6E061" w14:textId="77777777" w:rsidTr="008C106B">
        <w:trPr>
          <w:trHeight w:val="370"/>
          <w:jc w:val="center"/>
        </w:trPr>
        <w:tc>
          <w:tcPr>
            <w:tcW w:w="1700" w:type="dxa"/>
            <w:vMerge/>
            <w:tcBorders>
              <w:top w:val="nil"/>
              <w:left w:val="nil"/>
              <w:bottom w:val="single" w:sz="4" w:space="0" w:color="000000"/>
              <w:right w:val="nil"/>
            </w:tcBorders>
            <w:vAlign w:val="center"/>
            <w:hideMark/>
          </w:tcPr>
          <w:p w14:paraId="7E216B18" w14:textId="77777777" w:rsidR="0081090D" w:rsidRPr="0081090D" w:rsidRDefault="0081090D" w:rsidP="0081090D">
            <w:pPr>
              <w:spacing w:after="0" w:line="240" w:lineRule="auto"/>
              <w:rPr>
                <w:rFonts w:ascii="Cambria" w:eastAsia="Times New Roman" w:hAnsi="Cambria" w:cs="Calibri"/>
                <w:color w:val="000000"/>
              </w:rPr>
            </w:pPr>
          </w:p>
        </w:tc>
        <w:tc>
          <w:tcPr>
            <w:tcW w:w="1360" w:type="dxa"/>
            <w:vMerge/>
            <w:tcBorders>
              <w:top w:val="nil"/>
              <w:left w:val="nil"/>
              <w:bottom w:val="single" w:sz="4" w:space="0" w:color="000000"/>
              <w:right w:val="nil"/>
            </w:tcBorders>
            <w:vAlign w:val="center"/>
            <w:hideMark/>
          </w:tcPr>
          <w:p w14:paraId="631684F5" w14:textId="77777777" w:rsidR="0081090D" w:rsidRPr="0081090D" w:rsidRDefault="0081090D" w:rsidP="0081090D">
            <w:pPr>
              <w:spacing w:after="0" w:line="240" w:lineRule="auto"/>
              <w:rPr>
                <w:rFonts w:ascii="Cambria" w:eastAsia="Times New Roman" w:hAnsi="Cambria" w:cs="Calibri"/>
                <w:color w:val="000000"/>
              </w:rPr>
            </w:pPr>
          </w:p>
        </w:tc>
        <w:tc>
          <w:tcPr>
            <w:tcW w:w="5040" w:type="dxa"/>
            <w:gridSpan w:val="6"/>
            <w:tcBorders>
              <w:top w:val="nil"/>
              <w:left w:val="nil"/>
              <w:bottom w:val="single" w:sz="4" w:space="0" w:color="auto"/>
              <w:right w:val="nil"/>
            </w:tcBorders>
            <w:shd w:val="clear" w:color="auto" w:fill="auto"/>
            <w:noWrap/>
            <w:hideMark/>
          </w:tcPr>
          <w:p w14:paraId="71F793F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 % ----------------------------</w:t>
            </w:r>
          </w:p>
        </w:tc>
        <w:tc>
          <w:tcPr>
            <w:tcW w:w="4200" w:type="dxa"/>
            <w:gridSpan w:val="5"/>
            <w:tcBorders>
              <w:top w:val="nil"/>
              <w:left w:val="nil"/>
              <w:bottom w:val="single" w:sz="4" w:space="0" w:color="auto"/>
              <w:right w:val="nil"/>
            </w:tcBorders>
            <w:shd w:val="clear" w:color="auto" w:fill="auto"/>
            <w:noWrap/>
            <w:hideMark/>
          </w:tcPr>
          <w:p w14:paraId="41F4CA0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 ppm ----------------------</w:t>
            </w:r>
          </w:p>
        </w:tc>
      </w:tr>
      <w:tr w:rsidR="0081090D" w:rsidRPr="0081090D" w14:paraId="4C8DBC24" w14:textId="77777777" w:rsidTr="008C106B">
        <w:trPr>
          <w:trHeight w:val="290"/>
          <w:jc w:val="center"/>
        </w:trPr>
        <w:tc>
          <w:tcPr>
            <w:tcW w:w="1700" w:type="dxa"/>
            <w:vMerge w:val="restart"/>
            <w:tcBorders>
              <w:top w:val="nil"/>
              <w:left w:val="nil"/>
              <w:bottom w:val="nil"/>
              <w:right w:val="nil"/>
            </w:tcBorders>
            <w:shd w:val="clear" w:color="auto" w:fill="auto"/>
            <w:noWrap/>
            <w:vAlign w:val="center"/>
            <w:hideMark/>
          </w:tcPr>
          <w:p w14:paraId="280ADCC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16-Apr</w:t>
            </w:r>
          </w:p>
        </w:tc>
        <w:tc>
          <w:tcPr>
            <w:tcW w:w="1360" w:type="dxa"/>
            <w:tcBorders>
              <w:top w:val="nil"/>
              <w:left w:val="nil"/>
              <w:bottom w:val="nil"/>
              <w:right w:val="nil"/>
            </w:tcBorders>
            <w:shd w:val="clear" w:color="auto" w:fill="auto"/>
            <w:noWrap/>
            <w:vAlign w:val="bottom"/>
            <w:hideMark/>
          </w:tcPr>
          <w:p w14:paraId="43C49B9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c>
          <w:tcPr>
            <w:tcW w:w="840" w:type="dxa"/>
            <w:tcBorders>
              <w:top w:val="nil"/>
              <w:left w:val="nil"/>
              <w:bottom w:val="nil"/>
              <w:right w:val="nil"/>
            </w:tcBorders>
            <w:shd w:val="clear" w:color="auto" w:fill="auto"/>
            <w:noWrap/>
            <w:vAlign w:val="bottom"/>
            <w:hideMark/>
          </w:tcPr>
          <w:p w14:paraId="68915C1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5.69</w:t>
            </w:r>
          </w:p>
        </w:tc>
        <w:tc>
          <w:tcPr>
            <w:tcW w:w="840" w:type="dxa"/>
            <w:tcBorders>
              <w:top w:val="nil"/>
              <w:left w:val="nil"/>
              <w:bottom w:val="nil"/>
              <w:right w:val="nil"/>
            </w:tcBorders>
            <w:shd w:val="clear" w:color="auto" w:fill="auto"/>
            <w:noWrap/>
            <w:vAlign w:val="bottom"/>
            <w:hideMark/>
          </w:tcPr>
          <w:p w14:paraId="2B86208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0.50</w:t>
            </w:r>
          </w:p>
        </w:tc>
        <w:tc>
          <w:tcPr>
            <w:tcW w:w="840" w:type="dxa"/>
            <w:tcBorders>
              <w:top w:val="nil"/>
              <w:left w:val="nil"/>
              <w:bottom w:val="nil"/>
              <w:right w:val="nil"/>
            </w:tcBorders>
            <w:shd w:val="clear" w:color="auto" w:fill="auto"/>
            <w:noWrap/>
            <w:vAlign w:val="bottom"/>
            <w:hideMark/>
          </w:tcPr>
          <w:p w14:paraId="539B2D9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3.22</w:t>
            </w:r>
          </w:p>
        </w:tc>
        <w:tc>
          <w:tcPr>
            <w:tcW w:w="840" w:type="dxa"/>
            <w:tcBorders>
              <w:top w:val="nil"/>
              <w:left w:val="nil"/>
              <w:bottom w:val="nil"/>
              <w:right w:val="nil"/>
            </w:tcBorders>
            <w:shd w:val="clear" w:color="auto" w:fill="auto"/>
            <w:noWrap/>
            <w:vAlign w:val="bottom"/>
            <w:hideMark/>
          </w:tcPr>
          <w:p w14:paraId="0330E36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0.48</w:t>
            </w:r>
          </w:p>
        </w:tc>
        <w:tc>
          <w:tcPr>
            <w:tcW w:w="840" w:type="dxa"/>
            <w:tcBorders>
              <w:top w:val="nil"/>
              <w:left w:val="nil"/>
              <w:bottom w:val="nil"/>
              <w:right w:val="nil"/>
            </w:tcBorders>
            <w:shd w:val="clear" w:color="auto" w:fill="auto"/>
            <w:noWrap/>
            <w:vAlign w:val="bottom"/>
            <w:hideMark/>
          </w:tcPr>
          <w:p w14:paraId="0591CA2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1.54</w:t>
            </w:r>
          </w:p>
        </w:tc>
        <w:tc>
          <w:tcPr>
            <w:tcW w:w="840" w:type="dxa"/>
            <w:tcBorders>
              <w:top w:val="nil"/>
              <w:left w:val="nil"/>
              <w:bottom w:val="nil"/>
              <w:right w:val="nil"/>
            </w:tcBorders>
            <w:shd w:val="clear" w:color="auto" w:fill="auto"/>
            <w:noWrap/>
            <w:vAlign w:val="bottom"/>
            <w:hideMark/>
          </w:tcPr>
          <w:p w14:paraId="45060AA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0.42</w:t>
            </w:r>
          </w:p>
        </w:tc>
        <w:tc>
          <w:tcPr>
            <w:tcW w:w="840" w:type="dxa"/>
            <w:tcBorders>
              <w:top w:val="nil"/>
              <w:left w:val="nil"/>
              <w:bottom w:val="nil"/>
              <w:right w:val="nil"/>
            </w:tcBorders>
            <w:shd w:val="clear" w:color="auto" w:fill="auto"/>
            <w:noWrap/>
            <w:vAlign w:val="bottom"/>
            <w:hideMark/>
          </w:tcPr>
          <w:p w14:paraId="13D44FA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19</w:t>
            </w:r>
          </w:p>
        </w:tc>
        <w:tc>
          <w:tcPr>
            <w:tcW w:w="840" w:type="dxa"/>
            <w:tcBorders>
              <w:top w:val="nil"/>
              <w:left w:val="nil"/>
              <w:bottom w:val="nil"/>
              <w:right w:val="nil"/>
            </w:tcBorders>
            <w:shd w:val="clear" w:color="auto" w:fill="auto"/>
            <w:noWrap/>
            <w:vAlign w:val="bottom"/>
            <w:hideMark/>
          </w:tcPr>
          <w:p w14:paraId="530088C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91</w:t>
            </w:r>
          </w:p>
        </w:tc>
        <w:tc>
          <w:tcPr>
            <w:tcW w:w="840" w:type="dxa"/>
            <w:tcBorders>
              <w:top w:val="nil"/>
              <w:left w:val="nil"/>
              <w:bottom w:val="nil"/>
              <w:right w:val="nil"/>
            </w:tcBorders>
            <w:shd w:val="clear" w:color="auto" w:fill="auto"/>
            <w:noWrap/>
            <w:vAlign w:val="bottom"/>
            <w:hideMark/>
          </w:tcPr>
          <w:p w14:paraId="568CA66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427</w:t>
            </w:r>
          </w:p>
        </w:tc>
        <w:tc>
          <w:tcPr>
            <w:tcW w:w="840" w:type="dxa"/>
            <w:tcBorders>
              <w:top w:val="nil"/>
              <w:left w:val="nil"/>
              <w:bottom w:val="nil"/>
              <w:right w:val="nil"/>
            </w:tcBorders>
            <w:shd w:val="clear" w:color="auto" w:fill="auto"/>
            <w:noWrap/>
            <w:vAlign w:val="bottom"/>
            <w:hideMark/>
          </w:tcPr>
          <w:p w14:paraId="6CD8319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154</w:t>
            </w:r>
          </w:p>
        </w:tc>
        <w:tc>
          <w:tcPr>
            <w:tcW w:w="840" w:type="dxa"/>
            <w:tcBorders>
              <w:top w:val="nil"/>
              <w:left w:val="nil"/>
              <w:bottom w:val="nil"/>
              <w:right w:val="nil"/>
            </w:tcBorders>
            <w:shd w:val="clear" w:color="auto" w:fill="auto"/>
            <w:noWrap/>
            <w:vAlign w:val="bottom"/>
            <w:hideMark/>
          </w:tcPr>
          <w:p w14:paraId="3CF2E02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14</w:t>
            </w:r>
          </w:p>
        </w:tc>
      </w:tr>
      <w:tr w:rsidR="0081090D" w:rsidRPr="0081090D" w14:paraId="02BF06BD" w14:textId="77777777" w:rsidTr="008C106B">
        <w:trPr>
          <w:trHeight w:val="290"/>
          <w:jc w:val="center"/>
        </w:trPr>
        <w:tc>
          <w:tcPr>
            <w:tcW w:w="1700" w:type="dxa"/>
            <w:vMerge/>
            <w:tcBorders>
              <w:top w:val="nil"/>
              <w:left w:val="nil"/>
              <w:bottom w:val="nil"/>
              <w:right w:val="nil"/>
            </w:tcBorders>
            <w:vAlign w:val="center"/>
            <w:hideMark/>
          </w:tcPr>
          <w:p w14:paraId="74777C9A" w14:textId="77777777" w:rsidR="0081090D" w:rsidRPr="0081090D" w:rsidRDefault="0081090D" w:rsidP="0081090D">
            <w:pPr>
              <w:spacing w:after="0" w:line="240" w:lineRule="auto"/>
              <w:rPr>
                <w:rFonts w:ascii="Cambria" w:eastAsia="Times New Roman" w:hAnsi="Cambria" w:cs="Calibri"/>
                <w:color w:val="000000"/>
              </w:rPr>
            </w:pPr>
          </w:p>
        </w:tc>
        <w:tc>
          <w:tcPr>
            <w:tcW w:w="1360" w:type="dxa"/>
            <w:tcBorders>
              <w:top w:val="nil"/>
              <w:left w:val="nil"/>
              <w:bottom w:val="nil"/>
              <w:right w:val="nil"/>
            </w:tcBorders>
            <w:shd w:val="clear" w:color="000000" w:fill="BFBFBF"/>
            <w:noWrap/>
            <w:vAlign w:val="bottom"/>
            <w:hideMark/>
          </w:tcPr>
          <w:p w14:paraId="26F423B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w:t>
            </w:r>
          </w:p>
        </w:tc>
        <w:tc>
          <w:tcPr>
            <w:tcW w:w="840" w:type="dxa"/>
            <w:tcBorders>
              <w:top w:val="nil"/>
              <w:left w:val="nil"/>
              <w:bottom w:val="nil"/>
              <w:right w:val="nil"/>
            </w:tcBorders>
            <w:shd w:val="clear" w:color="000000" w:fill="BFBFBF"/>
            <w:noWrap/>
            <w:vAlign w:val="bottom"/>
            <w:hideMark/>
          </w:tcPr>
          <w:p w14:paraId="7F0C1D5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5.35</w:t>
            </w:r>
          </w:p>
        </w:tc>
        <w:tc>
          <w:tcPr>
            <w:tcW w:w="840" w:type="dxa"/>
            <w:tcBorders>
              <w:top w:val="nil"/>
              <w:left w:val="nil"/>
              <w:bottom w:val="nil"/>
              <w:right w:val="nil"/>
            </w:tcBorders>
            <w:shd w:val="clear" w:color="000000" w:fill="BFBFBF"/>
            <w:noWrap/>
            <w:vAlign w:val="bottom"/>
            <w:hideMark/>
          </w:tcPr>
          <w:p w14:paraId="0ECE935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0.50</w:t>
            </w:r>
          </w:p>
        </w:tc>
        <w:tc>
          <w:tcPr>
            <w:tcW w:w="840" w:type="dxa"/>
            <w:tcBorders>
              <w:top w:val="nil"/>
              <w:left w:val="nil"/>
              <w:bottom w:val="nil"/>
              <w:right w:val="nil"/>
            </w:tcBorders>
            <w:shd w:val="clear" w:color="000000" w:fill="BFBFBF"/>
            <w:noWrap/>
            <w:vAlign w:val="bottom"/>
            <w:hideMark/>
          </w:tcPr>
          <w:p w14:paraId="25F7001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3.52</w:t>
            </w:r>
          </w:p>
        </w:tc>
        <w:tc>
          <w:tcPr>
            <w:tcW w:w="840" w:type="dxa"/>
            <w:tcBorders>
              <w:top w:val="nil"/>
              <w:left w:val="nil"/>
              <w:bottom w:val="nil"/>
              <w:right w:val="nil"/>
            </w:tcBorders>
            <w:shd w:val="clear" w:color="000000" w:fill="BFBFBF"/>
            <w:noWrap/>
            <w:vAlign w:val="bottom"/>
            <w:hideMark/>
          </w:tcPr>
          <w:p w14:paraId="0FCC4961"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0.64</w:t>
            </w:r>
          </w:p>
        </w:tc>
        <w:tc>
          <w:tcPr>
            <w:tcW w:w="840" w:type="dxa"/>
            <w:tcBorders>
              <w:top w:val="nil"/>
              <w:left w:val="nil"/>
              <w:bottom w:val="nil"/>
              <w:right w:val="nil"/>
            </w:tcBorders>
            <w:shd w:val="clear" w:color="000000" w:fill="BFBFBF"/>
            <w:noWrap/>
            <w:vAlign w:val="bottom"/>
            <w:hideMark/>
          </w:tcPr>
          <w:p w14:paraId="2B27D6D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2.21</w:t>
            </w:r>
          </w:p>
        </w:tc>
        <w:tc>
          <w:tcPr>
            <w:tcW w:w="840" w:type="dxa"/>
            <w:tcBorders>
              <w:top w:val="nil"/>
              <w:left w:val="nil"/>
              <w:bottom w:val="nil"/>
              <w:right w:val="nil"/>
            </w:tcBorders>
            <w:shd w:val="clear" w:color="000000" w:fill="BFBFBF"/>
            <w:noWrap/>
            <w:vAlign w:val="bottom"/>
            <w:hideMark/>
          </w:tcPr>
          <w:p w14:paraId="3269F6A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0.45</w:t>
            </w:r>
          </w:p>
        </w:tc>
        <w:tc>
          <w:tcPr>
            <w:tcW w:w="840" w:type="dxa"/>
            <w:tcBorders>
              <w:top w:val="nil"/>
              <w:left w:val="nil"/>
              <w:bottom w:val="nil"/>
              <w:right w:val="nil"/>
            </w:tcBorders>
            <w:shd w:val="clear" w:color="000000" w:fill="BFBFBF"/>
            <w:noWrap/>
            <w:vAlign w:val="bottom"/>
            <w:hideMark/>
          </w:tcPr>
          <w:p w14:paraId="262965B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32</w:t>
            </w:r>
          </w:p>
        </w:tc>
        <w:tc>
          <w:tcPr>
            <w:tcW w:w="840" w:type="dxa"/>
            <w:tcBorders>
              <w:top w:val="nil"/>
              <w:left w:val="nil"/>
              <w:bottom w:val="nil"/>
              <w:right w:val="nil"/>
            </w:tcBorders>
            <w:shd w:val="clear" w:color="000000" w:fill="BFBFBF"/>
            <w:noWrap/>
            <w:vAlign w:val="bottom"/>
            <w:hideMark/>
          </w:tcPr>
          <w:p w14:paraId="1D30555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95</w:t>
            </w:r>
          </w:p>
        </w:tc>
        <w:tc>
          <w:tcPr>
            <w:tcW w:w="840" w:type="dxa"/>
            <w:tcBorders>
              <w:top w:val="nil"/>
              <w:left w:val="nil"/>
              <w:bottom w:val="nil"/>
              <w:right w:val="nil"/>
            </w:tcBorders>
            <w:shd w:val="clear" w:color="000000" w:fill="BFBFBF"/>
            <w:noWrap/>
            <w:vAlign w:val="bottom"/>
            <w:hideMark/>
          </w:tcPr>
          <w:p w14:paraId="6247542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415</w:t>
            </w:r>
          </w:p>
        </w:tc>
        <w:tc>
          <w:tcPr>
            <w:tcW w:w="840" w:type="dxa"/>
            <w:tcBorders>
              <w:top w:val="nil"/>
              <w:left w:val="nil"/>
              <w:bottom w:val="nil"/>
              <w:right w:val="nil"/>
            </w:tcBorders>
            <w:shd w:val="clear" w:color="000000" w:fill="BFBFBF"/>
            <w:noWrap/>
            <w:vAlign w:val="bottom"/>
            <w:hideMark/>
          </w:tcPr>
          <w:p w14:paraId="6574630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174</w:t>
            </w:r>
          </w:p>
        </w:tc>
        <w:tc>
          <w:tcPr>
            <w:tcW w:w="840" w:type="dxa"/>
            <w:tcBorders>
              <w:top w:val="nil"/>
              <w:left w:val="nil"/>
              <w:bottom w:val="nil"/>
              <w:right w:val="nil"/>
            </w:tcBorders>
            <w:shd w:val="clear" w:color="000000" w:fill="BFBFBF"/>
            <w:noWrap/>
            <w:vAlign w:val="bottom"/>
            <w:hideMark/>
          </w:tcPr>
          <w:p w14:paraId="3D084EAD"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13</w:t>
            </w:r>
          </w:p>
        </w:tc>
      </w:tr>
      <w:tr w:rsidR="0081090D" w:rsidRPr="0081090D" w14:paraId="3BEA29E3" w14:textId="77777777" w:rsidTr="008C106B">
        <w:trPr>
          <w:trHeight w:val="290"/>
          <w:jc w:val="center"/>
        </w:trPr>
        <w:tc>
          <w:tcPr>
            <w:tcW w:w="1700" w:type="dxa"/>
            <w:tcBorders>
              <w:top w:val="nil"/>
              <w:left w:val="nil"/>
              <w:bottom w:val="nil"/>
              <w:right w:val="nil"/>
            </w:tcBorders>
            <w:shd w:val="clear" w:color="auto" w:fill="auto"/>
            <w:noWrap/>
            <w:vAlign w:val="bottom"/>
            <w:hideMark/>
          </w:tcPr>
          <w:p w14:paraId="75722380" w14:textId="77777777" w:rsidR="0081090D" w:rsidRPr="0081090D" w:rsidRDefault="0081090D" w:rsidP="0081090D">
            <w:pPr>
              <w:spacing w:after="0" w:line="240" w:lineRule="auto"/>
              <w:jc w:val="center"/>
              <w:rPr>
                <w:rFonts w:ascii="Cambria" w:eastAsia="Times New Roman" w:hAnsi="Cambria" w:cs="Calibri"/>
                <w:color w:val="000000"/>
              </w:rPr>
            </w:pPr>
          </w:p>
        </w:tc>
        <w:tc>
          <w:tcPr>
            <w:tcW w:w="1360" w:type="dxa"/>
            <w:tcBorders>
              <w:top w:val="nil"/>
              <w:left w:val="nil"/>
              <w:bottom w:val="nil"/>
              <w:right w:val="nil"/>
            </w:tcBorders>
            <w:shd w:val="clear" w:color="auto" w:fill="auto"/>
            <w:noWrap/>
            <w:vAlign w:val="bottom"/>
            <w:hideMark/>
          </w:tcPr>
          <w:p w14:paraId="36C8D11A"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10A96B4"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E446371"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0A796A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84C66A0"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60A0B07"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A55CB9B"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870DEC2"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D1EB66F"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E4980D7"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4E07AA5"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2CDCAC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r>
      <w:tr w:rsidR="0081090D" w:rsidRPr="0081090D" w14:paraId="3F8DF439" w14:textId="77777777" w:rsidTr="008C106B">
        <w:trPr>
          <w:trHeight w:val="290"/>
          <w:jc w:val="center"/>
        </w:trPr>
        <w:tc>
          <w:tcPr>
            <w:tcW w:w="1700" w:type="dxa"/>
            <w:vMerge w:val="restart"/>
            <w:tcBorders>
              <w:top w:val="nil"/>
              <w:left w:val="nil"/>
              <w:bottom w:val="nil"/>
              <w:right w:val="nil"/>
            </w:tcBorders>
            <w:shd w:val="clear" w:color="auto" w:fill="auto"/>
            <w:noWrap/>
            <w:vAlign w:val="center"/>
            <w:hideMark/>
          </w:tcPr>
          <w:p w14:paraId="2155B64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30-Apr</w:t>
            </w:r>
          </w:p>
        </w:tc>
        <w:tc>
          <w:tcPr>
            <w:tcW w:w="1360" w:type="dxa"/>
            <w:tcBorders>
              <w:top w:val="nil"/>
              <w:left w:val="nil"/>
              <w:bottom w:val="nil"/>
              <w:right w:val="nil"/>
            </w:tcBorders>
            <w:shd w:val="clear" w:color="auto" w:fill="auto"/>
            <w:noWrap/>
            <w:vAlign w:val="bottom"/>
            <w:hideMark/>
          </w:tcPr>
          <w:p w14:paraId="703E2F8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c>
          <w:tcPr>
            <w:tcW w:w="840" w:type="dxa"/>
            <w:tcBorders>
              <w:top w:val="nil"/>
              <w:left w:val="nil"/>
              <w:bottom w:val="nil"/>
              <w:right w:val="nil"/>
            </w:tcBorders>
            <w:shd w:val="clear" w:color="auto" w:fill="auto"/>
            <w:noWrap/>
            <w:vAlign w:val="bottom"/>
            <w:hideMark/>
          </w:tcPr>
          <w:p w14:paraId="1CB1822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5.05</w:t>
            </w:r>
          </w:p>
        </w:tc>
        <w:tc>
          <w:tcPr>
            <w:tcW w:w="840" w:type="dxa"/>
            <w:tcBorders>
              <w:top w:val="nil"/>
              <w:left w:val="nil"/>
              <w:bottom w:val="nil"/>
              <w:right w:val="nil"/>
            </w:tcBorders>
            <w:shd w:val="clear" w:color="auto" w:fill="auto"/>
            <w:noWrap/>
            <w:vAlign w:val="bottom"/>
            <w:hideMark/>
          </w:tcPr>
          <w:p w14:paraId="60DA78E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0.47</w:t>
            </w:r>
          </w:p>
        </w:tc>
        <w:tc>
          <w:tcPr>
            <w:tcW w:w="840" w:type="dxa"/>
            <w:tcBorders>
              <w:top w:val="nil"/>
              <w:left w:val="nil"/>
              <w:bottom w:val="nil"/>
              <w:right w:val="nil"/>
            </w:tcBorders>
            <w:shd w:val="clear" w:color="auto" w:fill="auto"/>
            <w:noWrap/>
            <w:vAlign w:val="bottom"/>
            <w:hideMark/>
          </w:tcPr>
          <w:p w14:paraId="385DA10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3.17</w:t>
            </w:r>
          </w:p>
        </w:tc>
        <w:tc>
          <w:tcPr>
            <w:tcW w:w="840" w:type="dxa"/>
            <w:tcBorders>
              <w:top w:val="nil"/>
              <w:left w:val="nil"/>
              <w:bottom w:val="nil"/>
              <w:right w:val="nil"/>
            </w:tcBorders>
            <w:shd w:val="clear" w:color="auto" w:fill="auto"/>
            <w:noWrap/>
            <w:vAlign w:val="bottom"/>
            <w:hideMark/>
          </w:tcPr>
          <w:p w14:paraId="7AF7FC6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0.48</w:t>
            </w:r>
          </w:p>
        </w:tc>
        <w:tc>
          <w:tcPr>
            <w:tcW w:w="840" w:type="dxa"/>
            <w:tcBorders>
              <w:top w:val="nil"/>
              <w:left w:val="nil"/>
              <w:bottom w:val="nil"/>
              <w:right w:val="nil"/>
            </w:tcBorders>
            <w:shd w:val="clear" w:color="auto" w:fill="auto"/>
            <w:noWrap/>
            <w:vAlign w:val="bottom"/>
            <w:hideMark/>
          </w:tcPr>
          <w:p w14:paraId="169A3031"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1.08</w:t>
            </w:r>
          </w:p>
        </w:tc>
        <w:tc>
          <w:tcPr>
            <w:tcW w:w="840" w:type="dxa"/>
            <w:tcBorders>
              <w:top w:val="nil"/>
              <w:left w:val="nil"/>
              <w:bottom w:val="nil"/>
              <w:right w:val="nil"/>
            </w:tcBorders>
            <w:shd w:val="clear" w:color="auto" w:fill="auto"/>
            <w:noWrap/>
            <w:vAlign w:val="bottom"/>
            <w:hideMark/>
          </w:tcPr>
          <w:p w14:paraId="3437938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0.34</w:t>
            </w:r>
          </w:p>
        </w:tc>
        <w:tc>
          <w:tcPr>
            <w:tcW w:w="840" w:type="dxa"/>
            <w:tcBorders>
              <w:top w:val="nil"/>
              <w:left w:val="nil"/>
              <w:bottom w:val="nil"/>
              <w:right w:val="nil"/>
            </w:tcBorders>
            <w:shd w:val="clear" w:color="auto" w:fill="auto"/>
            <w:noWrap/>
            <w:vAlign w:val="bottom"/>
            <w:hideMark/>
          </w:tcPr>
          <w:p w14:paraId="53247A9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13</w:t>
            </w:r>
          </w:p>
        </w:tc>
        <w:tc>
          <w:tcPr>
            <w:tcW w:w="840" w:type="dxa"/>
            <w:tcBorders>
              <w:top w:val="nil"/>
              <w:left w:val="nil"/>
              <w:bottom w:val="nil"/>
              <w:right w:val="nil"/>
            </w:tcBorders>
            <w:shd w:val="clear" w:color="auto" w:fill="auto"/>
            <w:noWrap/>
            <w:vAlign w:val="bottom"/>
            <w:hideMark/>
          </w:tcPr>
          <w:p w14:paraId="397EC73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46</w:t>
            </w:r>
          </w:p>
        </w:tc>
        <w:tc>
          <w:tcPr>
            <w:tcW w:w="840" w:type="dxa"/>
            <w:tcBorders>
              <w:top w:val="nil"/>
              <w:left w:val="nil"/>
              <w:bottom w:val="nil"/>
              <w:right w:val="nil"/>
            </w:tcBorders>
            <w:shd w:val="clear" w:color="auto" w:fill="auto"/>
            <w:noWrap/>
            <w:vAlign w:val="bottom"/>
            <w:hideMark/>
          </w:tcPr>
          <w:p w14:paraId="4FAC9DA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92</w:t>
            </w:r>
          </w:p>
        </w:tc>
        <w:tc>
          <w:tcPr>
            <w:tcW w:w="840" w:type="dxa"/>
            <w:tcBorders>
              <w:top w:val="nil"/>
              <w:left w:val="nil"/>
              <w:bottom w:val="nil"/>
              <w:right w:val="nil"/>
            </w:tcBorders>
            <w:shd w:val="clear" w:color="auto" w:fill="auto"/>
            <w:noWrap/>
            <w:vAlign w:val="bottom"/>
            <w:hideMark/>
          </w:tcPr>
          <w:p w14:paraId="2C2A183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114</w:t>
            </w:r>
          </w:p>
        </w:tc>
        <w:tc>
          <w:tcPr>
            <w:tcW w:w="840" w:type="dxa"/>
            <w:tcBorders>
              <w:top w:val="nil"/>
              <w:left w:val="nil"/>
              <w:bottom w:val="nil"/>
              <w:right w:val="nil"/>
            </w:tcBorders>
            <w:shd w:val="clear" w:color="auto" w:fill="auto"/>
            <w:noWrap/>
            <w:vAlign w:val="bottom"/>
            <w:hideMark/>
          </w:tcPr>
          <w:p w14:paraId="65EFE76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10</w:t>
            </w:r>
          </w:p>
        </w:tc>
      </w:tr>
      <w:tr w:rsidR="0081090D" w:rsidRPr="0081090D" w14:paraId="4127F96F" w14:textId="77777777" w:rsidTr="008C106B">
        <w:trPr>
          <w:trHeight w:val="290"/>
          <w:jc w:val="center"/>
        </w:trPr>
        <w:tc>
          <w:tcPr>
            <w:tcW w:w="1700" w:type="dxa"/>
            <w:vMerge/>
            <w:tcBorders>
              <w:top w:val="nil"/>
              <w:left w:val="nil"/>
              <w:bottom w:val="nil"/>
              <w:right w:val="nil"/>
            </w:tcBorders>
            <w:vAlign w:val="center"/>
            <w:hideMark/>
          </w:tcPr>
          <w:p w14:paraId="43DF0E51" w14:textId="77777777" w:rsidR="0081090D" w:rsidRPr="0081090D" w:rsidRDefault="0081090D" w:rsidP="0081090D">
            <w:pPr>
              <w:spacing w:after="0" w:line="240" w:lineRule="auto"/>
              <w:rPr>
                <w:rFonts w:ascii="Cambria" w:eastAsia="Times New Roman" w:hAnsi="Cambria" w:cs="Calibri"/>
                <w:color w:val="000000"/>
              </w:rPr>
            </w:pPr>
          </w:p>
        </w:tc>
        <w:tc>
          <w:tcPr>
            <w:tcW w:w="1360" w:type="dxa"/>
            <w:tcBorders>
              <w:top w:val="nil"/>
              <w:left w:val="nil"/>
              <w:bottom w:val="nil"/>
              <w:right w:val="nil"/>
            </w:tcBorders>
            <w:shd w:val="clear" w:color="000000" w:fill="BFBFBF"/>
            <w:noWrap/>
            <w:vAlign w:val="bottom"/>
            <w:hideMark/>
          </w:tcPr>
          <w:p w14:paraId="5F350A9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w:t>
            </w:r>
          </w:p>
        </w:tc>
        <w:tc>
          <w:tcPr>
            <w:tcW w:w="840" w:type="dxa"/>
            <w:tcBorders>
              <w:top w:val="nil"/>
              <w:left w:val="nil"/>
              <w:bottom w:val="nil"/>
              <w:right w:val="nil"/>
            </w:tcBorders>
            <w:shd w:val="clear" w:color="000000" w:fill="BFBFBF"/>
            <w:noWrap/>
            <w:vAlign w:val="bottom"/>
            <w:hideMark/>
          </w:tcPr>
          <w:p w14:paraId="10E37861"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4.82</w:t>
            </w:r>
          </w:p>
        </w:tc>
        <w:tc>
          <w:tcPr>
            <w:tcW w:w="840" w:type="dxa"/>
            <w:tcBorders>
              <w:top w:val="nil"/>
              <w:left w:val="nil"/>
              <w:bottom w:val="nil"/>
              <w:right w:val="nil"/>
            </w:tcBorders>
            <w:shd w:val="clear" w:color="000000" w:fill="BFBFBF"/>
            <w:noWrap/>
            <w:vAlign w:val="bottom"/>
            <w:hideMark/>
          </w:tcPr>
          <w:p w14:paraId="018DE5F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0.53</w:t>
            </w:r>
          </w:p>
        </w:tc>
        <w:tc>
          <w:tcPr>
            <w:tcW w:w="840" w:type="dxa"/>
            <w:tcBorders>
              <w:top w:val="nil"/>
              <w:left w:val="nil"/>
              <w:bottom w:val="nil"/>
              <w:right w:val="nil"/>
            </w:tcBorders>
            <w:shd w:val="clear" w:color="000000" w:fill="BFBFBF"/>
            <w:noWrap/>
            <w:vAlign w:val="bottom"/>
            <w:hideMark/>
          </w:tcPr>
          <w:p w14:paraId="3BBB646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3.60</w:t>
            </w:r>
          </w:p>
        </w:tc>
        <w:tc>
          <w:tcPr>
            <w:tcW w:w="840" w:type="dxa"/>
            <w:tcBorders>
              <w:top w:val="nil"/>
              <w:left w:val="nil"/>
              <w:bottom w:val="nil"/>
              <w:right w:val="nil"/>
            </w:tcBorders>
            <w:shd w:val="clear" w:color="000000" w:fill="BFBFBF"/>
            <w:noWrap/>
            <w:vAlign w:val="bottom"/>
            <w:hideMark/>
          </w:tcPr>
          <w:p w14:paraId="1F07CE6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0.40</w:t>
            </w:r>
          </w:p>
        </w:tc>
        <w:tc>
          <w:tcPr>
            <w:tcW w:w="840" w:type="dxa"/>
            <w:tcBorders>
              <w:top w:val="nil"/>
              <w:left w:val="nil"/>
              <w:bottom w:val="nil"/>
              <w:right w:val="nil"/>
            </w:tcBorders>
            <w:shd w:val="clear" w:color="000000" w:fill="BFBFBF"/>
            <w:noWrap/>
            <w:vAlign w:val="bottom"/>
            <w:hideMark/>
          </w:tcPr>
          <w:p w14:paraId="0986754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0.96</w:t>
            </w:r>
          </w:p>
        </w:tc>
        <w:tc>
          <w:tcPr>
            <w:tcW w:w="840" w:type="dxa"/>
            <w:tcBorders>
              <w:top w:val="nil"/>
              <w:left w:val="nil"/>
              <w:bottom w:val="nil"/>
              <w:right w:val="nil"/>
            </w:tcBorders>
            <w:shd w:val="clear" w:color="000000" w:fill="BFBFBF"/>
            <w:noWrap/>
            <w:vAlign w:val="bottom"/>
            <w:hideMark/>
          </w:tcPr>
          <w:p w14:paraId="064DE43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0.33</w:t>
            </w:r>
          </w:p>
        </w:tc>
        <w:tc>
          <w:tcPr>
            <w:tcW w:w="840" w:type="dxa"/>
            <w:tcBorders>
              <w:top w:val="nil"/>
              <w:left w:val="nil"/>
              <w:bottom w:val="nil"/>
              <w:right w:val="nil"/>
            </w:tcBorders>
            <w:shd w:val="clear" w:color="000000" w:fill="BFBFBF"/>
            <w:noWrap/>
            <w:vAlign w:val="bottom"/>
            <w:hideMark/>
          </w:tcPr>
          <w:p w14:paraId="7537AC2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25</w:t>
            </w:r>
          </w:p>
        </w:tc>
        <w:tc>
          <w:tcPr>
            <w:tcW w:w="840" w:type="dxa"/>
            <w:tcBorders>
              <w:top w:val="nil"/>
              <w:left w:val="nil"/>
              <w:bottom w:val="nil"/>
              <w:right w:val="nil"/>
            </w:tcBorders>
            <w:shd w:val="clear" w:color="000000" w:fill="BFBFBF"/>
            <w:noWrap/>
            <w:vAlign w:val="bottom"/>
            <w:hideMark/>
          </w:tcPr>
          <w:p w14:paraId="73D510A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49</w:t>
            </w:r>
          </w:p>
        </w:tc>
        <w:tc>
          <w:tcPr>
            <w:tcW w:w="840" w:type="dxa"/>
            <w:tcBorders>
              <w:top w:val="nil"/>
              <w:left w:val="nil"/>
              <w:bottom w:val="nil"/>
              <w:right w:val="nil"/>
            </w:tcBorders>
            <w:shd w:val="clear" w:color="000000" w:fill="BFBFBF"/>
            <w:noWrap/>
            <w:vAlign w:val="bottom"/>
            <w:hideMark/>
          </w:tcPr>
          <w:p w14:paraId="4FED2D3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80</w:t>
            </w:r>
          </w:p>
        </w:tc>
        <w:tc>
          <w:tcPr>
            <w:tcW w:w="840" w:type="dxa"/>
            <w:tcBorders>
              <w:top w:val="nil"/>
              <w:left w:val="nil"/>
              <w:bottom w:val="nil"/>
              <w:right w:val="nil"/>
            </w:tcBorders>
            <w:shd w:val="clear" w:color="000000" w:fill="BFBFBF"/>
            <w:noWrap/>
            <w:vAlign w:val="bottom"/>
            <w:hideMark/>
          </w:tcPr>
          <w:p w14:paraId="58EB65C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100</w:t>
            </w:r>
          </w:p>
        </w:tc>
        <w:tc>
          <w:tcPr>
            <w:tcW w:w="840" w:type="dxa"/>
            <w:tcBorders>
              <w:top w:val="nil"/>
              <w:left w:val="nil"/>
              <w:bottom w:val="nil"/>
              <w:right w:val="nil"/>
            </w:tcBorders>
            <w:shd w:val="clear" w:color="000000" w:fill="BFBFBF"/>
            <w:noWrap/>
            <w:vAlign w:val="bottom"/>
            <w:hideMark/>
          </w:tcPr>
          <w:p w14:paraId="59AC46E1"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11</w:t>
            </w:r>
          </w:p>
        </w:tc>
      </w:tr>
      <w:tr w:rsidR="0081090D" w:rsidRPr="0081090D" w14:paraId="7A91FD5E" w14:textId="77777777" w:rsidTr="008C106B">
        <w:trPr>
          <w:trHeight w:val="290"/>
          <w:jc w:val="center"/>
        </w:trPr>
        <w:tc>
          <w:tcPr>
            <w:tcW w:w="1700" w:type="dxa"/>
            <w:tcBorders>
              <w:top w:val="nil"/>
              <w:left w:val="nil"/>
              <w:bottom w:val="nil"/>
              <w:right w:val="nil"/>
            </w:tcBorders>
            <w:shd w:val="clear" w:color="auto" w:fill="auto"/>
            <w:noWrap/>
            <w:vAlign w:val="bottom"/>
            <w:hideMark/>
          </w:tcPr>
          <w:p w14:paraId="3598ED0B" w14:textId="77777777" w:rsidR="0081090D" w:rsidRPr="0081090D" w:rsidRDefault="0081090D" w:rsidP="0081090D">
            <w:pPr>
              <w:spacing w:after="0" w:line="240" w:lineRule="auto"/>
              <w:jc w:val="center"/>
              <w:rPr>
                <w:rFonts w:ascii="Cambria" w:eastAsia="Times New Roman" w:hAnsi="Cambria" w:cs="Calibri"/>
                <w:color w:val="000000"/>
              </w:rPr>
            </w:pPr>
          </w:p>
        </w:tc>
        <w:tc>
          <w:tcPr>
            <w:tcW w:w="1360" w:type="dxa"/>
            <w:tcBorders>
              <w:top w:val="nil"/>
              <w:left w:val="nil"/>
              <w:bottom w:val="nil"/>
              <w:right w:val="nil"/>
            </w:tcBorders>
            <w:shd w:val="clear" w:color="auto" w:fill="auto"/>
            <w:noWrap/>
            <w:vAlign w:val="bottom"/>
            <w:hideMark/>
          </w:tcPr>
          <w:p w14:paraId="46CA910B"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42B28DD"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6CB8644"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8EAD2B2"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3A1B108"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D116CD9"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089C515"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05A8108"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B14F7E9"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E775D9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44F442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FF73AA7"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r>
      <w:tr w:rsidR="0081090D" w:rsidRPr="0081090D" w14:paraId="511F0ADF" w14:textId="77777777" w:rsidTr="008C106B">
        <w:trPr>
          <w:trHeight w:val="290"/>
          <w:jc w:val="center"/>
        </w:trPr>
        <w:tc>
          <w:tcPr>
            <w:tcW w:w="1700" w:type="dxa"/>
            <w:vMerge w:val="restart"/>
            <w:tcBorders>
              <w:top w:val="nil"/>
              <w:left w:val="nil"/>
              <w:bottom w:val="nil"/>
              <w:right w:val="nil"/>
            </w:tcBorders>
            <w:shd w:val="clear" w:color="auto" w:fill="auto"/>
            <w:noWrap/>
            <w:vAlign w:val="center"/>
            <w:hideMark/>
          </w:tcPr>
          <w:p w14:paraId="4DB2042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12-May</w:t>
            </w:r>
          </w:p>
        </w:tc>
        <w:tc>
          <w:tcPr>
            <w:tcW w:w="1360" w:type="dxa"/>
            <w:tcBorders>
              <w:top w:val="nil"/>
              <w:left w:val="nil"/>
              <w:bottom w:val="nil"/>
              <w:right w:val="nil"/>
            </w:tcBorders>
            <w:shd w:val="clear" w:color="auto" w:fill="auto"/>
            <w:noWrap/>
            <w:vAlign w:val="bottom"/>
            <w:hideMark/>
          </w:tcPr>
          <w:p w14:paraId="4155E92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c>
          <w:tcPr>
            <w:tcW w:w="840" w:type="dxa"/>
            <w:tcBorders>
              <w:top w:val="nil"/>
              <w:left w:val="nil"/>
              <w:bottom w:val="nil"/>
              <w:right w:val="nil"/>
            </w:tcBorders>
            <w:shd w:val="clear" w:color="auto" w:fill="auto"/>
            <w:noWrap/>
            <w:vAlign w:val="bottom"/>
            <w:hideMark/>
          </w:tcPr>
          <w:p w14:paraId="17DED56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3.27</w:t>
            </w:r>
          </w:p>
        </w:tc>
        <w:tc>
          <w:tcPr>
            <w:tcW w:w="840" w:type="dxa"/>
            <w:tcBorders>
              <w:top w:val="nil"/>
              <w:left w:val="nil"/>
              <w:bottom w:val="nil"/>
              <w:right w:val="nil"/>
            </w:tcBorders>
            <w:shd w:val="clear" w:color="auto" w:fill="auto"/>
            <w:noWrap/>
            <w:vAlign w:val="bottom"/>
            <w:hideMark/>
          </w:tcPr>
          <w:p w14:paraId="5AADFF3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0.35</w:t>
            </w:r>
          </w:p>
        </w:tc>
        <w:tc>
          <w:tcPr>
            <w:tcW w:w="840" w:type="dxa"/>
            <w:tcBorders>
              <w:top w:val="nil"/>
              <w:left w:val="nil"/>
              <w:bottom w:val="nil"/>
              <w:right w:val="nil"/>
            </w:tcBorders>
            <w:shd w:val="clear" w:color="auto" w:fill="auto"/>
            <w:noWrap/>
            <w:vAlign w:val="bottom"/>
            <w:hideMark/>
          </w:tcPr>
          <w:p w14:paraId="602524F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2.18</w:t>
            </w:r>
          </w:p>
        </w:tc>
        <w:tc>
          <w:tcPr>
            <w:tcW w:w="840" w:type="dxa"/>
            <w:tcBorders>
              <w:top w:val="nil"/>
              <w:left w:val="nil"/>
              <w:bottom w:val="nil"/>
              <w:right w:val="nil"/>
            </w:tcBorders>
            <w:shd w:val="clear" w:color="auto" w:fill="auto"/>
            <w:noWrap/>
            <w:vAlign w:val="bottom"/>
            <w:hideMark/>
          </w:tcPr>
          <w:p w14:paraId="0C0904B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0.37</w:t>
            </w:r>
          </w:p>
        </w:tc>
        <w:tc>
          <w:tcPr>
            <w:tcW w:w="840" w:type="dxa"/>
            <w:tcBorders>
              <w:top w:val="nil"/>
              <w:left w:val="nil"/>
              <w:bottom w:val="nil"/>
              <w:right w:val="nil"/>
            </w:tcBorders>
            <w:shd w:val="clear" w:color="auto" w:fill="auto"/>
            <w:noWrap/>
            <w:vAlign w:val="bottom"/>
            <w:hideMark/>
          </w:tcPr>
          <w:p w14:paraId="510664D3"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1.35</w:t>
            </w:r>
          </w:p>
        </w:tc>
        <w:tc>
          <w:tcPr>
            <w:tcW w:w="840" w:type="dxa"/>
            <w:tcBorders>
              <w:top w:val="nil"/>
              <w:left w:val="nil"/>
              <w:bottom w:val="nil"/>
              <w:right w:val="nil"/>
            </w:tcBorders>
            <w:shd w:val="clear" w:color="auto" w:fill="auto"/>
            <w:noWrap/>
            <w:vAlign w:val="bottom"/>
            <w:hideMark/>
          </w:tcPr>
          <w:p w14:paraId="7D56E10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0.24</w:t>
            </w:r>
          </w:p>
        </w:tc>
        <w:tc>
          <w:tcPr>
            <w:tcW w:w="840" w:type="dxa"/>
            <w:tcBorders>
              <w:top w:val="nil"/>
              <w:left w:val="nil"/>
              <w:bottom w:val="nil"/>
              <w:right w:val="nil"/>
            </w:tcBorders>
            <w:shd w:val="clear" w:color="auto" w:fill="auto"/>
            <w:noWrap/>
            <w:vAlign w:val="bottom"/>
            <w:hideMark/>
          </w:tcPr>
          <w:p w14:paraId="09036C03"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9</w:t>
            </w:r>
          </w:p>
        </w:tc>
        <w:tc>
          <w:tcPr>
            <w:tcW w:w="840" w:type="dxa"/>
            <w:tcBorders>
              <w:top w:val="nil"/>
              <w:left w:val="nil"/>
              <w:bottom w:val="nil"/>
              <w:right w:val="nil"/>
            </w:tcBorders>
            <w:shd w:val="clear" w:color="auto" w:fill="auto"/>
            <w:noWrap/>
            <w:vAlign w:val="bottom"/>
            <w:hideMark/>
          </w:tcPr>
          <w:p w14:paraId="635377D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43</w:t>
            </w:r>
          </w:p>
        </w:tc>
        <w:tc>
          <w:tcPr>
            <w:tcW w:w="840" w:type="dxa"/>
            <w:tcBorders>
              <w:top w:val="nil"/>
              <w:left w:val="nil"/>
              <w:bottom w:val="nil"/>
              <w:right w:val="nil"/>
            </w:tcBorders>
            <w:shd w:val="clear" w:color="auto" w:fill="auto"/>
            <w:noWrap/>
            <w:vAlign w:val="bottom"/>
            <w:hideMark/>
          </w:tcPr>
          <w:p w14:paraId="1429819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173</w:t>
            </w:r>
          </w:p>
        </w:tc>
        <w:tc>
          <w:tcPr>
            <w:tcW w:w="840" w:type="dxa"/>
            <w:tcBorders>
              <w:top w:val="nil"/>
              <w:left w:val="nil"/>
              <w:bottom w:val="nil"/>
              <w:right w:val="nil"/>
            </w:tcBorders>
            <w:shd w:val="clear" w:color="auto" w:fill="auto"/>
            <w:noWrap/>
            <w:vAlign w:val="bottom"/>
            <w:hideMark/>
          </w:tcPr>
          <w:p w14:paraId="175E76A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81</w:t>
            </w:r>
          </w:p>
        </w:tc>
        <w:tc>
          <w:tcPr>
            <w:tcW w:w="840" w:type="dxa"/>
            <w:tcBorders>
              <w:top w:val="nil"/>
              <w:left w:val="nil"/>
              <w:bottom w:val="nil"/>
              <w:right w:val="nil"/>
            </w:tcBorders>
            <w:shd w:val="clear" w:color="auto" w:fill="auto"/>
            <w:noWrap/>
            <w:vAlign w:val="bottom"/>
            <w:hideMark/>
          </w:tcPr>
          <w:p w14:paraId="1DFB6A0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w:t>
            </w:r>
          </w:p>
        </w:tc>
      </w:tr>
      <w:tr w:rsidR="0081090D" w:rsidRPr="0081090D" w14:paraId="4C8BBC9F" w14:textId="77777777" w:rsidTr="008C106B">
        <w:trPr>
          <w:trHeight w:val="290"/>
          <w:jc w:val="center"/>
        </w:trPr>
        <w:tc>
          <w:tcPr>
            <w:tcW w:w="1700" w:type="dxa"/>
            <w:vMerge/>
            <w:tcBorders>
              <w:top w:val="nil"/>
              <w:left w:val="nil"/>
              <w:bottom w:val="nil"/>
              <w:right w:val="nil"/>
            </w:tcBorders>
            <w:vAlign w:val="center"/>
            <w:hideMark/>
          </w:tcPr>
          <w:p w14:paraId="2EF0EAAC" w14:textId="77777777" w:rsidR="0081090D" w:rsidRPr="0081090D" w:rsidRDefault="0081090D" w:rsidP="0081090D">
            <w:pPr>
              <w:spacing w:after="0" w:line="240" w:lineRule="auto"/>
              <w:rPr>
                <w:rFonts w:ascii="Cambria" w:eastAsia="Times New Roman" w:hAnsi="Cambria" w:cs="Calibri"/>
                <w:color w:val="000000"/>
              </w:rPr>
            </w:pPr>
          </w:p>
        </w:tc>
        <w:tc>
          <w:tcPr>
            <w:tcW w:w="1360" w:type="dxa"/>
            <w:tcBorders>
              <w:top w:val="nil"/>
              <w:left w:val="nil"/>
              <w:bottom w:val="nil"/>
              <w:right w:val="nil"/>
            </w:tcBorders>
            <w:shd w:val="clear" w:color="000000" w:fill="BFBFBF"/>
            <w:noWrap/>
            <w:vAlign w:val="bottom"/>
            <w:hideMark/>
          </w:tcPr>
          <w:p w14:paraId="6B67A44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w:t>
            </w:r>
          </w:p>
        </w:tc>
        <w:tc>
          <w:tcPr>
            <w:tcW w:w="840" w:type="dxa"/>
            <w:tcBorders>
              <w:top w:val="nil"/>
              <w:left w:val="nil"/>
              <w:bottom w:val="nil"/>
              <w:right w:val="nil"/>
            </w:tcBorders>
            <w:shd w:val="clear" w:color="000000" w:fill="BFBFBF"/>
            <w:noWrap/>
            <w:vAlign w:val="bottom"/>
            <w:hideMark/>
          </w:tcPr>
          <w:p w14:paraId="0215D87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3.29</w:t>
            </w:r>
          </w:p>
        </w:tc>
        <w:tc>
          <w:tcPr>
            <w:tcW w:w="840" w:type="dxa"/>
            <w:tcBorders>
              <w:top w:val="nil"/>
              <w:left w:val="nil"/>
              <w:bottom w:val="nil"/>
              <w:right w:val="nil"/>
            </w:tcBorders>
            <w:shd w:val="clear" w:color="000000" w:fill="BFBFBF"/>
            <w:noWrap/>
            <w:vAlign w:val="bottom"/>
            <w:hideMark/>
          </w:tcPr>
          <w:p w14:paraId="1B1E083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0.35</w:t>
            </w:r>
          </w:p>
        </w:tc>
        <w:tc>
          <w:tcPr>
            <w:tcW w:w="840" w:type="dxa"/>
            <w:tcBorders>
              <w:top w:val="nil"/>
              <w:left w:val="nil"/>
              <w:bottom w:val="nil"/>
              <w:right w:val="nil"/>
            </w:tcBorders>
            <w:shd w:val="clear" w:color="000000" w:fill="BFBFBF"/>
            <w:noWrap/>
            <w:vAlign w:val="bottom"/>
            <w:hideMark/>
          </w:tcPr>
          <w:p w14:paraId="6A2D647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2.33</w:t>
            </w:r>
          </w:p>
        </w:tc>
        <w:tc>
          <w:tcPr>
            <w:tcW w:w="840" w:type="dxa"/>
            <w:tcBorders>
              <w:top w:val="nil"/>
              <w:left w:val="nil"/>
              <w:bottom w:val="nil"/>
              <w:right w:val="nil"/>
            </w:tcBorders>
            <w:shd w:val="clear" w:color="000000" w:fill="BFBFBF"/>
            <w:noWrap/>
            <w:vAlign w:val="bottom"/>
            <w:hideMark/>
          </w:tcPr>
          <w:p w14:paraId="6A75300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0.39</w:t>
            </w:r>
          </w:p>
        </w:tc>
        <w:tc>
          <w:tcPr>
            <w:tcW w:w="840" w:type="dxa"/>
            <w:tcBorders>
              <w:top w:val="nil"/>
              <w:left w:val="nil"/>
              <w:bottom w:val="nil"/>
              <w:right w:val="nil"/>
            </w:tcBorders>
            <w:shd w:val="clear" w:color="000000" w:fill="BFBFBF"/>
            <w:noWrap/>
            <w:vAlign w:val="bottom"/>
            <w:hideMark/>
          </w:tcPr>
          <w:p w14:paraId="2CC173B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1.43</w:t>
            </w:r>
          </w:p>
        </w:tc>
        <w:tc>
          <w:tcPr>
            <w:tcW w:w="840" w:type="dxa"/>
            <w:tcBorders>
              <w:top w:val="nil"/>
              <w:left w:val="nil"/>
              <w:bottom w:val="nil"/>
              <w:right w:val="nil"/>
            </w:tcBorders>
            <w:shd w:val="clear" w:color="000000" w:fill="BFBFBF"/>
            <w:noWrap/>
            <w:vAlign w:val="bottom"/>
            <w:hideMark/>
          </w:tcPr>
          <w:p w14:paraId="1480D2C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0.25</w:t>
            </w:r>
          </w:p>
        </w:tc>
        <w:tc>
          <w:tcPr>
            <w:tcW w:w="840" w:type="dxa"/>
            <w:tcBorders>
              <w:top w:val="nil"/>
              <w:left w:val="nil"/>
              <w:bottom w:val="nil"/>
              <w:right w:val="nil"/>
            </w:tcBorders>
            <w:shd w:val="clear" w:color="000000" w:fill="BFBFBF"/>
            <w:noWrap/>
            <w:vAlign w:val="bottom"/>
            <w:hideMark/>
          </w:tcPr>
          <w:p w14:paraId="2D23D97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19</w:t>
            </w:r>
          </w:p>
        </w:tc>
        <w:tc>
          <w:tcPr>
            <w:tcW w:w="840" w:type="dxa"/>
            <w:tcBorders>
              <w:top w:val="nil"/>
              <w:left w:val="nil"/>
              <w:bottom w:val="nil"/>
              <w:right w:val="nil"/>
            </w:tcBorders>
            <w:shd w:val="clear" w:color="000000" w:fill="BFBFBF"/>
            <w:noWrap/>
            <w:vAlign w:val="bottom"/>
            <w:hideMark/>
          </w:tcPr>
          <w:p w14:paraId="535A7FA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48</w:t>
            </w:r>
          </w:p>
        </w:tc>
        <w:tc>
          <w:tcPr>
            <w:tcW w:w="840" w:type="dxa"/>
            <w:tcBorders>
              <w:top w:val="nil"/>
              <w:left w:val="nil"/>
              <w:bottom w:val="nil"/>
              <w:right w:val="nil"/>
            </w:tcBorders>
            <w:shd w:val="clear" w:color="000000" w:fill="BFBFBF"/>
            <w:noWrap/>
            <w:vAlign w:val="bottom"/>
            <w:hideMark/>
          </w:tcPr>
          <w:p w14:paraId="51DFDFD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193</w:t>
            </w:r>
          </w:p>
        </w:tc>
        <w:tc>
          <w:tcPr>
            <w:tcW w:w="840" w:type="dxa"/>
            <w:tcBorders>
              <w:top w:val="nil"/>
              <w:left w:val="nil"/>
              <w:bottom w:val="nil"/>
              <w:right w:val="nil"/>
            </w:tcBorders>
            <w:shd w:val="clear" w:color="000000" w:fill="BFBFBF"/>
            <w:noWrap/>
            <w:vAlign w:val="bottom"/>
            <w:hideMark/>
          </w:tcPr>
          <w:p w14:paraId="149B217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90</w:t>
            </w:r>
          </w:p>
        </w:tc>
        <w:tc>
          <w:tcPr>
            <w:tcW w:w="840" w:type="dxa"/>
            <w:tcBorders>
              <w:top w:val="nil"/>
              <w:left w:val="nil"/>
              <w:bottom w:val="nil"/>
              <w:right w:val="nil"/>
            </w:tcBorders>
            <w:shd w:val="clear" w:color="000000" w:fill="BFBFBF"/>
            <w:noWrap/>
            <w:vAlign w:val="bottom"/>
            <w:hideMark/>
          </w:tcPr>
          <w:p w14:paraId="1E5F63F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w:t>
            </w:r>
          </w:p>
        </w:tc>
      </w:tr>
      <w:tr w:rsidR="0081090D" w:rsidRPr="0081090D" w14:paraId="3686D68E" w14:textId="77777777" w:rsidTr="008C106B">
        <w:trPr>
          <w:trHeight w:val="290"/>
          <w:jc w:val="center"/>
        </w:trPr>
        <w:tc>
          <w:tcPr>
            <w:tcW w:w="1700" w:type="dxa"/>
            <w:tcBorders>
              <w:top w:val="nil"/>
              <w:left w:val="nil"/>
              <w:bottom w:val="nil"/>
              <w:right w:val="nil"/>
            </w:tcBorders>
            <w:shd w:val="clear" w:color="auto" w:fill="auto"/>
            <w:noWrap/>
            <w:vAlign w:val="bottom"/>
            <w:hideMark/>
          </w:tcPr>
          <w:p w14:paraId="27D00631" w14:textId="77777777" w:rsidR="0081090D" w:rsidRPr="0081090D" w:rsidRDefault="0081090D" w:rsidP="0081090D">
            <w:pPr>
              <w:spacing w:after="0" w:line="240" w:lineRule="auto"/>
              <w:jc w:val="center"/>
              <w:rPr>
                <w:rFonts w:ascii="Cambria" w:eastAsia="Times New Roman" w:hAnsi="Cambria" w:cs="Calibri"/>
                <w:color w:val="000000"/>
              </w:rPr>
            </w:pPr>
          </w:p>
        </w:tc>
        <w:tc>
          <w:tcPr>
            <w:tcW w:w="1360" w:type="dxa"/>
            <w:tcBorders>
              <w:top w:val="nil"/>
              <w:left w:val="nil"/>
              <w:bottom w:val="nil"/>
              <w:right w:val="nil"/>
            </w:tcBorders>
            <w:shd w:val="clear" w:color="auto" w:fill="auto"/>
            <w:noWrap/>
            <w:vAlign w:val="bottom"/>
            <w:hideMark/>
          </w:tcPr>
          <w:p w14:paraId="728A44E3"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D81B66B"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4400DC0"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85C414A"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64172C0"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7DBF270"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BF07F7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457BF38"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54F94E5"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90FEEF4"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34EF7B6"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781B844"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r>
      <w:tr w:rsidR="0081090D" w:rsidRPr="0081090D" w14:paraId="7989F176" w14:textId="77777777" w:rsidTr="008C106B">
        <w:trPr>
          <w:trHeight w:val="290"/>
          <w:jc w:val="center"/>
        </w:trPr>
        <w:tc>
          <w:tcPr>
            <w:tcW w:w="1700" w:type="dxa"/>
            <w:vMerge w:val="restart"/>
            <w:tcBorders>
              <w:top w:val="nil"/>
              <w:left w:val="nil"/>
              <w:bottom w:val="single" w:sz="4" w:space="0" w:color="000000"/>
              <w:right w:val="nil"/>
            </w:tcBorders>
            <w:shd w:val="clear" w:color="auto" w:fill="auto"/>
            <w:noWrap/>
            <w:vAlign w:val="center"/>
            <w:hideMark/>
          </w:tcPr>
          <w:p w14:paraId="6DE1D4D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8-Jun</w:t>
            </w:r>
          </w:p>
        </w:tc>
        <w:tc>
          <w:tcPr>
            <w:tcW w:w="1360" w:type="dxa"/>
            <w:tcBorders>
              <w:top w:val="nil"/>
              <w:left w:val="nil"/>
              <w:bottom w:val="nil"/>
              <w:right w:val="nil"/>
            </w:tcBorders>
            <w:shd w:val="clear" w:color="auto" w:fill="auto"/>
            <w:noWrap/>
            <w:vAlign w:val="bottom"/>
            <w:hideMark/>
          </w:tcPr>
          <w:p w14:paraId="0BAFDC8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c>
          <w:tcPr>
            <w:tcW w:w="840" w:type="dxa"/>
            <w:tcBorders>
              <w:top w:val="nil"/>
              <w:left w:val="nil"/>
              <w:bottom w:val="nil"/>
              <w:right w:val="nil"/>
            </w:tcBorders>
            <w:shd w:val="clear" w:color="auto" w:fill="auto"/>
            <w:noWrap/>
            <w:vAlign w:val="bottom"/>
            <w:hideMark/>
          </w:tcPr>
          <w:p w14:paraId="74AB1FF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4.26</w:t>
            </w:r>
          </w:p>
        </w:tc>
        <w:tc>
          <w:tcPr>
            <w:tcW w:w="840" w:type="dxa"/>
            <w:tcBorders>
              <w:top w:val="nil"/>
              <w:left w:val="nil"/>
              <w:bottom w:val="nil"/>
              <w:right w:val="nil"/>
            </w:tcBorders>
            <w:shd w:val="clear" w:color="auto" w:fill="auto"/>
            <w:noWrap/>
            <w:vAlign w:val="bottom"/>
            <w:hideMark/>
          </w:tcPr>
          <w:p w14:paraId="63F5740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0.32</w:t>
            </w:r>
          </w:p>
        </w:tc>
        <w:tc>
          <w:tcPr>
            <w:tcW w:w="840" w:type="dxa"/>
            <w:tcBorders>
              <w:top w:val="nil"/>
              <w:left w:val="nil"/>
              <w:bottom w:val="nil"/>
              <w:right w:val="nil"/>
            </w:tcBorders>
            <w:shd w:val="clear" w:color="auto" w:fill="auto"/>
            <w:noWrap/>
            <w:vAlign w:val="bottom"/>
            <w:hideMark/>
          </w:tcPr>
          <w:p w14:paraId="5A705C8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1.89</w:t>
            </w:r>
          </w:p>
        </w:tc>
        <w:tc>
          <w:tcPr>
            <w:tcW w:w="840" w:type="dxa"/>
            <w:tcBorders>
              <w:top w:val="nil"/>
              <w:left w:val="nil"/>
              <w:bottom w:val="nil"/>
              <w:right w:val="nil"/>
            </w:tcBorders>
            <w:shd w:val="clear" w:color="auto" w:fill="auto"/>
            <w:noWrap/>
            <w:vAlign w:val="bottom"/>
            <w:hideMark/>
          </w:tcPr>
          <w:p w14:paraId="239B4F5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0.50</w:t>
            </w:r>
          </w:p>
        </w:tc>
        <w:tc>
          <w:tcPr>
            <w:tcW w:w="840" w:type="dxa"/>
            <w:tcBorders>
              <w:top w:val="nil"/>
              <w:left w:val="nil"/>
              <w:bottom w:val="nil"/>
              <w:right w:val="nil"/>
            </w:tcBorders>
            <w:shd w:val="clear" w:color="auto" w:fill="auto"/>
            <w:noWrap/>
            <w:vAlign w:val="bottom"/>
            <w:hideMark/>
          </w:tcPr>
          <w:p w14:paraId="183E6B7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2.43</w:t>
            </w:r>
          </w:p>
        </w:tc>
        <w:tc>
          <w:tcPr>
            <w:tcW w:w="840" w:type="dxa"/>
            <w:tcBorders>
              <w:top w:val="nil"/>
              <w:left w:val="nil"/>
              <w:bottom w:val="nil"/>
              <w:right w:val="nil"/>
            </w:tcBorders>
            <w:shd w:val="clear" w:color="auto" w:fill="auto"/>
            <w:noWrap/>
            <w:vAlign w:val="bottom"/>
            <w:hideMark/>
          </w:tcPr>
          <w:p w14:paraId="2DAE291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0.29</w:t>
            </w:r>
          </w:p>
        </w:tc>
        <w:tc>
          <w:tcPr>
            <w:tcW w:w="840" w:type="dxa"/>
            <w:tcBorders>
              <w:top w:val="nil"/>
              <w:left w:val="nil"/>
              <w:bottom w:val="nil"/>
              <w:right w:val="nil"/>
            </w:tcBorders>
            <w:shd w:val="clear" w:color="auto" w:fill="auto"/>
            <w:noWrap/>
            <w:vAlign w:val="bottom"/>
            <w:hideMark/>
          </w:tcPr>
          <w:p w14:paraId="0D6B6EA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34</w:t>
            </w:r>
          </w:p>
        </w:tc>
        <w:tc>
          <w:tcPr>
            <w:tcW w:w="840" w:type="dxa"/>
            <w:tcBorders>
              <w:top w:val="nil"/>
              <w:left w:val="nil"/>
              <w:bottom w:val="nil"/>
              <w:right w:val="nil"/>
            </w:tcBorders>
            <w:shd w:val="clear" w:color="auto" w:fill="auto"/>
            <w:noWrap/>
            <w:vAlign w:val="bottom"/>
            <w:hideMark/>
          </w:tcPr>
          <w:p w14:paraId="6D8032C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62</w:t>
            </w:r>
          </w:p>
        </w:tc>
        <w:tc>
          <w:tcPr>
            <w:tcW w:w="840" w:type="dxa"/>
            <w:tcBorders>
              <w:top w:val="nil"/>
              <w:left w:val="nil"/>
              <w:bottom w:val="nil"/>
              <w:right w:val="nil"/>
            </w:tcBorders>
            <w:shd w:val="clear" w:color="auto" w:fill="auto"/>
            <w:noWrap/>
            <w:vAlign w:val="bottom"/>
            <w:hideMark/>
          </w:tcPr>
          <w:p w14:paraId="6A29457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299</w:t>
            </w:r>
          </w:p>
        </w:tc>
        <w:tc>
          <w:tcPr>
            <w:tcW w:w="840" w:type="dxa"/>
            <w:tcBorders>
              <w:top w:val="nil"/>
              <w:left w:val="nil"/>
              <w:bottom w:val="nil"/>
              <w:right w:val="nil"/>
            </w:tcBorders>
            <w:shd w:val="clear" w:color="auto" w:fill="auto"/>
            <w:noWrap/>
            <w:vAlign w:val="bottom"/>
            <w:hideMark/>
          </w:tcPr>
          <w:p w14:paraId="4C5B27E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138</w:t>
            </w:r>
          </w:p>
        </w:tc>
        <w:tc>
          <w:tcPr>
            <w:tcW w:w="840" w:type="dxa"/>
            <w:tcBorders>
              <w:top w:val="nil"/>
              <w:left w:val="nil"/>
              <w:bottom w:val="nil"/>
              <w:right w:val="nil"/>
            </w:tcBorders>
            <w:shd w:val="clear" w:color="auto" w:fill="auto"/>
            <w:noWrap/>
            <w:vAlign w:val="bottom"/>
            <w:hideMark/>
          </w:tcPr>
          <w:p w14:paraId="601750F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11</w:t>
            </w:r>
          </w:p>
        </w:tc>
      </w:tr>
      <w:tr w:rsidR="0081090D" w:rsidRPr="0081090D" w14:paraId="55DBDD09" w14:textId="77777777" w:rsidTr="008C106B">
        <w:trPr>
          <w:trHeight w:val="290"/>
          <w:jc w:val="center"/>
        </w:trPr>
        <w:tc>
          <w:tcPr>
            <w:tcW w:w="1700" w:type="dxa"/>
            <w:vMerge/>
            <w:tcBorders>
              <w:top w:val="nil"/>
              <w:left w:val="nil"/>
              <w:bottom w:val="single" w:sz="4" w:space="0" w:color="000000"/>
              <w:right w:val="nil"/>
            </w:tcBorders>
            <w:vAlign w:val="center"/>
            <w:hideMark/>
          </w:tcPr>
          <w:p w14:paraId="3C0144FD" w14:textId="77777777" w:rsidR="0081090D" w:rsidRPr="0081090D" w:rsidRDefault="0081090D" w:rsidP="0081090D">
            <w:pPr>
              <w:spacing w:after="0" w:line="240" w:lineRule="auto"/>
              <w:rPr>
                <w:rFonts w:ascii="Cambria" w:eastAsia="Times New Roman" w:hAnsi="Cambria" w:cs="Calibri"/>
                <w:color w:val="000000"/>
              </w:rPr>
            </w:pPr>
          </w:p>
        </w:tc>
        <w:tc>
          <w:tcPr>
            <w:tcW w:w="1360" w:type="dxa"/>
            <w:tcBorders>
              <w:top w:val="nil"/>
              <w:left w:val="nil"/>
              <w:bottom w:val="single" w:sz="4" w:space="0" w:color="auto"/>
              <w:right w:val="nil"/>
            </w:tcBorders>
            <w:shd w:val="clear" w:color="000000" w:fill="BFBFBF"/>
            <w:noWrap/>
            <w:vAlign w:val="bottom"/>
            <w:hideMark/>
          </w:tcPr>
          <w:p w14:paraId="17C060F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w:t>
            </w:r>
          </w:p>
        </w:tc>
        <w:tc>
          <w:tcPr>
            <w:tcW w:w="840" w:type="dxa"/>
            <w:tcBorders>
              <w:top w:val="nil"/>
              <w:left w:val="nil"/>
              <w:bottom w:val="single" w:sz="4" w:space="0" w:color="auto"/>
              <w:right w:val="nil"/>
            </w:tcBorders>
            <w:shd w:val="clear" w:color="000000" w:fill="BFBFBF"/>
            <w:noWrap/>
            <w:vAlign w:val="bottom"/>
            <w:hideMark/>
          </w:tcPr>
          <w:p w14:paraId="4A54F9BD"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3.87</w:t>
            </w:r>
          </w:p>
        </w:tc>
        <w:tc>
          <w:tcPr>
            <w:tcW w:w="840" w:type="dxa"/>
            <w:tcBorders>
              <w:top w:val="nil"/>
              <w:left w:val="nil"/>
              <w:bottom w:val="single" w:sz="4" w:space="0" w:color="auto"/>
              <w:right w:val="nil"/>
            </w:tcBorders>
            <w:shd w:val="clear" w:color="000000" w:fill="BFBFBF"/>
            <w:noWrap/>
            <w:vAlign w:val="bottom"/>
            <w:hideMark/>
          </w:tcPr>
          <w:p w14:paraId="38FD93DD"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0.38</w:t>
            </w:r>
          </w:p>
        </w:tc>
        <w:tc>
          <w:tcPr>
            <w:tcW w:w="840" w:type="dxa"/>
            <w:tcBorders>
              <w:top w:val="nil"/>
              <w:left w:val="nil"/>
              <w:bottom w:val="single" w:sz="4" w:space="0" w:color="auto"/>
              <w:right w:val="nil"/>
            </w:tcBorders>
            <w:shd w:val="clear" w:color="000000" w:fill="BFBFBF"/>
            <w:noWrap/>
            <w:vAlign w:val="bottom"/>
            <w:hideMark/>
          </w:tcPr>
          <w:p w14:paraId="731E54B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2.22</w:t>
            </w:r>
          </w:p>
        </w:tc>
        <w:tc>
          <w:tcPr>
            <w:tcW w:w="840" w:type="dxa"/>
            <w:tcBorders>
              <w:top w:val="nil"/>
              <w:left w:val="nil"/>
              <w:bottom w:val="single" w:sz="4" w:space="0" w:color="auto"/>
              <w:right w:val="nil"/>
            </w:tcBorders>
            <w:shd w:val="clear" w:color="000000" w:fill="BFBFBF"/>
            <w:noWrap/>
            <w:vAlign w:val="bottom"/>
            <w:hideMark/>
          </w:tcPr>
          <w:p w14:paraId="6DA4924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0.36</w:t>
            </w:r>
          </w:p>
        </w:tc>
        <w:tc>
          <w:tcPr>
            <w:tcW w:w="840" w:type="dxa"/>
            <w:tcBorders>
              <w:top w:val="nil"/>
              <w:left w:val="nil"/>
              <w:bottom w:val="single" w:sz="4" w:space="0" w:color="auto"/>
              <w:right w:val="nil"/>
            </w:tcBorders>
            <w:shd w:val="clear" w:color="000000" w:fill="BFBFBF"/>
            <w:noWrap/>
            <w:vAlign w:val="bottom"/>
            <w:hideMark/>
          </w:tcPr>
          <w:p w14:paraId="5D8C5E4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1.33</w:t>
            </w:r>
          </w:p>
        </w:tc>
        <w:tc>
          <w:tcPr>
            <w:tcW w:w="840" w:type="dxa"/>
            <w:tcBorders>
              <w:top w:val="nil"/>
              <w:left w:val="nil"/>
              <w:bottom w:val="single" w:sz="4" w:space="0" w:color="auto"/>
              <w:right w:val="nil"/>
            </w:tcBorders>
            <w:shd w:val="clear" w:color="000000" w:fill="BFBFBF"/>
            <w:noWrap/>
            <w:vAlign w:val="bottom"/>
            <w:hideMark/>
          </w:tcPr>
          <w:p w14:paraId="6D096AF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0.27</w:t>
            </w:r>
          </w:p>
        </w:tc>
        <w:tc>
          <w:tcPr>
            <w:tcW w:w="840" w:type="dxa"/>
            <w:tcBorders>
              <w:top w:val="nil"/>
              <w:left w:val="nil"/>
              <w:bottom w:val="single" w:sz="4" w:space="0" w:color="auto"/>
              <w:right w:val="nil"/>
            </w:tcBorders>
            <w:shd w:val="clear" w:color="000000" w:fill="BFBFBF"/>
            <w:noWrap/>
            <w:vAlign w:val="bottom"/>
            <w:hideMark/>
          </w:tcPr>
          <w:p w14:paraId="1D5A314C"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40</w:t>
            </w:r>
          </w:p>
        </w:tc>
        <w:tc>
          <w:tcPr>
            <w:tcW w:w="840" w:type="dxa"/>
            <w:tcBorders>
              <w:top w:val="nil"/>
              <w:left w:val="nil"/>
              <w:bottom w:val="single" w:sz="4" w:space="0" w:color="auto"/>
              <w:right w:val="nil"/>
            </w:tcBorders>
            <w:shd w:val="clear" w:color="000000" w:fill="BFBFBF"/>
            <w:noWrap/>
            <w:vAlign w:val="bottom"/>
            <w:hideMark/>
          </w:tcPr>
          <w:p w14:paraId="2821EBE1"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40</w:t>
            </w:r>
          </w:p>
        </w:tc>
        <w:tc>
          <w:tcPr>
            <w:tcW w:w="840" w:type="dxa"/>
            <w:tcBorders>
              <w:top w:val="nil"/>
              <w:left w:val="nil"/>
              <w:bottom w:val="single" w:sz="4" w:space="0" w:color="auto"/>
              <w:right w:val="nil"/>
            </w:tcBorders>
            <w:shd w:val="clear" w:color="000000" w:fill="BFBFBF"/>
            <w:noWrap/>
            <w:vAlign w:val="bottom"/>
            <w:hideMark/>
          </w:tcPr>
          <w:p w14:paraId="3862E43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151</w:t>
            </w:r>
          </w:p>
        </w:tc>
        <w:tc>
          <w:tcPr>
            <w:tcW w:w="840" w:type="dxa"/>
            <w:tcBorders>
              <w:top w:val="nil"/>
              <w:left w:val="nil"/>
              <w:bottom w:val="single" w:sz="4" w:space="0" w:color="auto"/>
              <w:right w:val="nil"/>
            </w:tcBorders>
            <w:shd w:val="clear" w:color="000000" w:fill="BFBFBF"/>
            <w:noWrap/>
            <w:vAlign w:val="bottom"/>
            <w:hideMark/>
          </w:tcPr>
          <w:p w14:paraId="44D9E4C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85</w:t>
            </w:r>
          </w:p>
        </w:tc>
        <w:tc>
          <w:tcPr>
            <w:tcW w:w="840" w:type="dxa"/>
            <w:tcBorders>
              <w:top w:val="nil"/>
              <w:left w:val="nil"/>
              <w:bottom w:val="single" w:sz="4" w:space="0" w:color="auto"/>
              <w:right w:val="nil"/>
            </w:tcBorders>
            <w:shd w:val="clear" w:color="000000" w:fill="BFBFBF"/>
            <w:noWrap/>
            <w:vAlign w:val="bottom"/>
            <w:hideMark/>
          </w:tcPr>
          <w:p w14:paraId="762A751D"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10</w:t>
            </w:r>
          </w:p>
        </w:tc>
      </w:tr>
      <w:tr w:rsidR="0081090D" w:rsidRPr="0081090D" w14:paraId="53D3EF0D" w14:textId="77777777" w:rsidTr="008C106B">
        <w:trPr>
          <w:trHeight w:val="290"/>
          <w:jc w:val="center"/>
        </w:trPr>
        <w:tc>
          <w:tcPr>
            <w:tcW w:w="1700" w:type="dxa"/>
            <w:tcBorders>
              <w:top w:val="nil"/>
              <w:left w:val="nil"/>
              <w:bottom w:val="nil"/>
              <w:right w:val="nil"/>
            </w:tcBorders>
            <w:shd w:val="clear" w:color="auto" w:fill="auto"/>
            <w:noWrap/>
            <w:vAlign w:val="bottom"/>
            <w:hideMark/>
          </w:tcPr>
          <w:p w14:paraId="6EBB73B7" w14:textId="77777777" w:rsidR="0081090D" w:rsidRPr="0081090D" w:rsidRDefault="0081090D" w:rsidP="0081090D">
            <w:pPr>
              <w:spacing w:after="0" w:line="240" w:lineRule="auto"/>
              <w:jc w:val="center"/>
              <w:rPr>
                <w:rFonts w:ascii="Cambria" w:eastAsia="Times New Roman" w:hAnsi="Cambria" w:cs="Calibri"/>
                <w:color w:val="000000"/>
              </w:rPr>
            </w:pPr>
          </w:p>
        </w:tc>
        <w:tc>
          <w:tcPr>
            <w:tcW w:w="1360" w:type="dxa"/>
            <w:tcBorders>
              <w:top w:val="nil"/>
              <w:left w:val="nil"/>
              <w:bottom w:val="nil"/>
              <w:right w:val="nil"/>
            </w:tcBorders>
            <w:shd w:val="clear" w:color="auto" w:fill="auto"/>
            <w:noWrap/>
            <w:vAlign w:val="bottom"/>
            <w:hideMark/>
          </w:tcPr>
          <w:p w14:paraId="28531E54"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7BF5742"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283312E"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E028003"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0F5C5CF"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FB2846B"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E8EDE22"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9EC68FD"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D8472F3"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D3AA13A"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D481CD0"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2864362" w14:textId="77777777" w:rsidR="0081090D" w:rsidRPr="0081090D" w:rsidRDefault="0081090D" w:rsidP="0081090D">
            <w:pPr>
              <w:spacing w:after="0" w:line="240" w:lineRule="auto"/>
              <w:jc w:val="center"/>
              <w:rPr>
                <w:rFonts w:ascii="Times New Roman" w:eastAsia="Times New Roman" w:hAnsi="Times New Roman" w:cs="Times New Roman"/>
                <w:sz w:val="20"/>
                <w:szCs w:val="20"/>
              </w:rPr>
            </w:pPr>
          </w:p>
        </w:tc>
      </w:tr>
    </w:tbl>
    <w:p w14:paraId="0486A782" w14:textId="77777777" w:rsidR="0081090D" w:rsidRPr="0081090D" w:rsidRDefault="0081090D" w:rsidP="0081090D">
      <w:pPr>
        <w:spacing w:after="200" w:line="276" w:lineRule="auto"/>
        <w:rPr>
          <w:rFonts w:ascii="Cambria" w:eastAsia="Times New Roman" w:hAnsi="Cambria" w:cs="Times New Roman"/>
          <w:sz w:val="24"/>
          <w:szCs w:val="24"/>
        </w:rPr>
      </w:pPr>
    </w:p>
    <w:p w14:paraId="3CD4DB47" w14:textId="77777777" w:rsidR="0081090D" w:rsidRPr="0081090D" w:rsidRDefault="0081090D" w:rsidP="0081090D">
      <w:pPr>
        <w:spacing w:after="200" w:line="276" w:lineRule="auto"/>
        <w:rPr>
          <w:rFonts w:ascii="Cambria" w:eastAsia="Times New Roman" w:hAnsi="Cambria" w:cs="Times New Roman"/>
          <w:sz w:val="24"/>
          <w:szCs w:val="24"/>
        </w:rPr>
      </w:pPr>
    </w:p>
    <w:p w14:paraId="4CECFD59" w14:textId="77777777" w:rsidR="0081090D" w:rsidRPr="0081090D" w:rsidRDefault="0081090D" w:rsidP="0081090D">
      <w:pPr>
        <w:spacing w:after="200" w:line="276" w:lineRule="auto"/>
        <w:rPr>
          <w:rFonts w:ascii="Cambria" w:eastAsia="Times New Roman" w:hAnsi="Cambria" w:cs="Times New Roman"/>
          <w:sz w:val="24"/>
          <w:szCs w:val="24"/>
        </w:rPr>
      </w:pPr>
    </w:p>
    <w:p w14:paraId="3AC00EE8" w14:textId="77777777" w:rsidR="0081090D" w:rsidRPr="0081090D" w:rsidRDefault="0081090D" w:rsidP="0081090D">
      <w:pPr>
        <w:spacing w:after="200" w:line="276" w:lineRule="auto"/>
        <w:rPr>
          <w:rFonts w:ascii="Cambria" w:eastAsia="Times New Roman" w:hAnsi="Cambria" w:cs="Times New Roman"/>
          <w:sz w:val="24"/>
          <w:szCs w:val="24"/>
        </w:rPr>
      </w:pPr>
    </w:p>
    <w:p w14:paraId="7508B05F" w14:textId="77777777" w:rsidR="0081090D" w:rsidRPr="0081090D" w:rsidRDefault="0081090D" w:rsidP="0081090D">
      <w:pPr>
        <w:spacing w:after="200" w:line="276" w:lineRule="auto"/>
        <w:rPr>
          <w:rFonts w:ascii="Cambria" w:eastAsia="Times New Roman" w:hAnsi="Cambria" w:cs="Times New Roman"/>
          <w:sz w:val="24"/>
          <w:szCs w:val="24"/>
        </w:rPr>
      </w:pPr>
    </w:p>
    <w:p w14:paraId="69632166" w14:textId="77777777" w:rsidR="0081090D" w:rsidRPr="0081090D" w:rsidRDefault="0081090D" w:rsidP="0081090D">
      <w:pPr>
        <w:spacing w:after="200" w:line="276" w:lineRule="auto"/>
        <w:rPr>
          <w:rFonts w:ascii="Cambria" w:eastAsia="Times New Roman" w:hAnsi="Cambria" w:cs="Times New Roman"/>
          <w:sz w:val="24"/>
          <w:szCs w:val="24"/>
        </w:rPr>
      </w:pPr>
    </w:p>
    <w:p w14:paraId="1B052DAF" w14:textId="77777777" w:rsidR="0081090D" w:rsidRPr="0081090D" w:rsidRDefault="0081090D" w:rsidP="0081090D">
      <w:pPr>
        <w:spacing w:after="200" w:line="276" w:lineRule="auto"/>
        <w:rPr>
          <w:rFonts w:ascii="Cambria" w:eastAsia="Calibri Light" w:hAnsi="Cambria" w:cs="Calibri Light"/>
          <w:sz w:val="24"/>
          <w:szCs w:val="24"/>
        </w:rPr>
      </w:pPr>
    </w:p>
    <w:p w14:paraId="30B64E12" w14:textId="77777777" w:rsidR="0081090D" w:rsidRPr="0081090D" w:rsidRDefault="0081090D" w:rsidP="0081090D">
      <w:pPr>
        <w:spacing w:after="200" w:line="276" w:lineRule="auto"/>
        <w:rPr>
          <w:rFonts w:ascii="Cambria" w:eastAsia="Calibri Light" w:hAnsi="Cambria" w:cs="Calibri Light"/>
          <w:sz w:val="24"/>
          <w:szCs w:val="24"/>
        </w:rPr>
      </w:pPr>
    </w:p>
    <w:p w14:paraId="5CDDC48E" w14:textId="77777777" w:rsidR="0081090D" w:rsidRPr="0081090D" w:rsidRDefault="0081090D" w:rsidP="0081090D">
      <w:pPr>
        <w:spacing w:after="200" w:line="276" w:lineRule="auto"/>
        <w:rPr>
          <w:rFonts w:ascii="Cambria" w:eastAsia="Calibri Light" w:hAnsi="Cambria" w:cs="Calibri Light"/>
          <w:sz w:val="24"/>
          <w:szCs w:val="24"/>
        </w:rPr>
      </w:pPr>
      <w:r w:rsidRPr="0081090D">
        <w:rPr>
          <w:rFonts w:ascii="Cambria" w:eastAsia="Calibri Light" w:hAnsi="Cambria" w:cs="Calibri Light"/>
          <w:sz w:val="24"/>
          <w:szCs w:val="24"/>
        </w:rPr>
        <w:t>Table 2. UF/IFAS adequate ranges for macronutrients and micronutrients in leaf tissue for Florida grown watermelons.</w:t>
      </w:r>
    </w:p>
    <w:p w14:paraId="42CA6862" w14:textId="77777777" w:rsidR="0081090D" w:rsidRPr="0081090D" w:rsidRDefault="0081090D" w:rsidP="0081090D">
      <w:pPr>
        <w:spacing w:after="200" w:line="276" w:lineRule="auto"/>
        <w:rPr>
          <w:rFonts w:ascii="Cambria" w:eastAsia="Calibri Light" w:hAnsi="Cambria" w:cs="Calibri Light"/>
          <w:sz w:val="24"/>
          <w:szCs w:val="24"/>
        </w:rPr>
      </w:pPr>
    </w:p>
    <w:tbl>
      <w:tblPr>
        <w:tblW w:w="13554" w:type="dxa"/>
        <w:jc w:val="center"/>
        <w:tblLayout w:type="fixed"/>
        <w:tblLook w:val="04A0" w:firstRow="1" w:lastRow="0" w:firstColumn="1" w:lastColumn="0" w:noHBand="0" w:noVBand="1"/>
      </w:tblPr>
      <w:tblGrid>
        <w:gridCol w:w="1841"/>
        <w:gridCol w:w="408"/>
        <w:gridCol w:w="613"/>
        <w:gridCol w:w="308"/>
        <w:gridCol w:w="137"/>
        <w:gridCol w:w="1023"/>
        <w:gridCol w:w="1023"/>
        <w:gridCol w:w="1228"/>
        <w:gridCol w:w="1023"/>
        <w:gridCol w:w="1027"/>
        <w:gridCol w:w="921"/>
        <w:gridCol w:w="921"/>
        <w:gridCol w:w="1023"/>
        <w:gridCol w:w="1023"/>
        <w:gridCol w:w="1028"/>
        <w:gridCol w:w="7"/>
      </w:tblGrid>
      <w:tr w:rsidR="0081090D" w:rsidRPr="0081090D" w14:paraId="138F41C9" w14:textId="77777777" w:rsidTr="008C106B">
        <w:trPr>
          <w:trHeight w:val="402"/>
          <w:jc w:val="center"/>
        </w:trPr>
        <w:tc>
          <w:tcPr>
            <w:tcW w:w="1843" w:type="dxa"/>
            <w:tcBorders>
              <w:top w:val="single" w:sz="4" w:space="0" w:color="auto"/>
              <w:left w:val="nil"/>
              <w:bottom w:val="nil"/>
              <w:right w:val="nil"/>
            </w:tcBorders>
            <w:shd w:val="clear" w:color="auto" w:fill="auto"/>
            <w:noWrap/>
            <w:vAlign w:val="center"/>
            <w:hideMark/>
          </w:tcPr>
          <w:p w14:paraId="6A13478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p>
        </w:tc>
        <w:tc>
          <w:tcPr>
            <w:tcW w:w="1023" w:type="dxa"/>
            <w:gridSpan w:val="2"/>
            <w:tcBorders>
              <w:top w:val="single" w:sz="4" w:space="0" w:color="auto"/>
              <w:left w:val="nil"/>
              <w:bottom w:val="nil"/>
              <w:right w:val="nil"/>
            </w:tcBorders>
            <w:shd w:val="clear" w:color="auto" w:fill="auto"/>
            <w:noWrap/>
            <w:vAlign w:val="center"/>
            <w:hideMark/>
          </w:tcPr>
          <w:p w14:paraId="00ACBECC" w14:textId="77777777" w:rsidR="0081090D" w:rsidRPr="0081090D" w:rsidRDefault="0081090D" w:rsidP="0081090D">
            <w:pPr>
              <w:spacing w:after="0" w:line="240" w:lineRule="auto"/>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 </w:t>
            </w:r>
          </w:p>
        </w:tc>
        <w:tc>
          <w:tcPr>
            <w:tcW w:w="308" w:type="dxa"/>
            <w:tcBorders>
              <w:top w:val="single" w:sz="4" w:space="0" w:color="auto"/>
              <w:left w:val="nil"/>
              <w:bottom w:val="nil"/>
              <w:right w:val="nil"/>
            </w:tcBorders>
            <w:shd w:val="clear" w:color="auto" w:fill="auto"/>
            <w:noWrap/>
            <w:vAlign w:val="center"/>
            <w:hideMark/>
          </w:tcPr>
          <w:p w14:paraId="7E205207" w14:textId="77777777" w:rsidR="0081090D" w:rsidRPr="0081090D" w:rsidRDefault="0081090D" w:rsidP="0081090D">
            <w:pPr>
              <w:spacing w:after="0" w:line="240" w:lineRule="auto"/>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 </w:t>
            </w:r>
          </w:p>
        </w:tc>
        <w:tc>
          <w:tcPr>
            <w:tcW w:w="10380" w:type="dxa"/>
            <w:gridSpan w:val="12"/>
            <w:tcBorders>
              <w:top w:val="single" w:sz="4" w:space="0" w:color="auto"/>
              <w:left w:val="nil"/>
              <w:bottom w:val="single" w:sz="4" w:space="0" w:color="auto"/>
              <w:right w:val="nil"/>
            </w:tcBorders>
            <w:shd w:val="clear" w:color="auto" w:fill="auto"/>
            <w:noWrap/>
            <w:vAlign w:val="center"/>
            <w:hideMark/>
          </w:tcPr>
          <w:p w14:paraId="38F7C00B"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Leaf Tissue Nutrients</w:t>
            </w:r>
          </w:p>
        </w:tc>
      </w:tr>
      <w:tr w:rsidR="0081090D" w:rsidRPr="0081090D" w14:paraId="506CBA9D" w14:textId="77777777" w:rsidTr="008C106B">
        <w:trPr>
          <w:gridAfter w:val="1"/>
          <w:wAfter w:w="7" w:type="dxa"/>
          <w:trHeight w:val="673"/>
          <w:jc w:val="center"/>
        </w:trPr>
        <w:tc>
          <w:tcPr>
            <w:tcW w:w="2252" w:type="dxa"/>
            <w:gridSpan w:val="2"/>
            <w:vMerge w:val="restart"/>
            <w:tcBorders>
              <w:top w:val="nil"/>
              <w:left w:val="nil"/>
              <w:bottom w:val="single" w:sz="4" w:space="0" w:color="auto"/>
              <w:right w:val="nil"/>
            </w:tcBorders>
            <w:shd w:val="clear" w:color="auto" w:fill="auto"/>
            <w:vAlign w:val="center"/>
            <w:hideMark/>
          </w:tcPr>
          <w:p w14:paraId="79DB830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Stage of Growth</w:t>
            </w:r>
          </w:p>
        </w:tc>
        <w:tc>
          <w:tcPr>
            <w:tcW w:w="1059" w:type="dxa"/>
            <w:gridSpan w:val="3"/>
            <w:tcBorders>
              <w:top w:val="nil"/>
              <w:left w:val="nil"/>
              <w:bottom w:val="nil"/>
              <w:right w:val="nil"/>
            </w:tcBorders>
            <w:shd w:val="clear" w:color="auto" w:fill="auto"/>
            <w:vAlign w:val="center"/>
            <w:hideMark/>
          </w:tcPr>
          <w:p w14:paraId="753F6B0D"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N</w:t>
            </w:r>
          </w:p>
        </w:tc>
        <w:tc>
          <w:tcPr>
            <w:tcW w:w="1023" w:type="dxa"/>
            <w:tcBorders>
              <w:top w:val="nil"/>
              <w:left w:val="nil"/>
              <w:bottom w:val="nil"/>
              <w:right w:val="nil"/>
            </w:tcBorders>
            <w:shd w:val="clear" w:color="auto" w:fill="auto"/>
            <w:vAlign w:val="center"/>
            <w:hideMark/>
          </w:tcPr>
          <w:p w14:paraId="1CFAD02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P</w:t>
            </w:r>
          </w:p>
        </w:tc>
        <w:tc>
          <w:tcPr>
            <w:tcW w:w="1023" w:type="dxa"/>
            <w:tcBorders>
              <w:top w:val="nil"/>
              <w:left w:val="nil"/>
              <w:bottom w:val="nil"/>
              <w:right w:val="nil"/>
            </w:tcBorders>
            <w:shd w:val="clear" w:color="auto" w:fill="auto"/>
            <w:vAlign w:val="center"/>
            <w:hideMark/>
          </w:tcPr>
          <w:p w14:paraId="5D0F45F2"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K</w:t>
            </w:r>
          </w:p>
        </w:tc>
        <w:tc>
          <w:tcPr>
            <w:tcW w:w="1228" w:type="dxa"/>
            <w:tcBorders>
              <w:top w:val="nil"/>
              <w:left w:val="nil"/>
              <w:bottom w:val="nil"/>
              <w:right w:val="nil"/>
            </w:tcBorders>
            <w:shd w:val="clear" w:color="auto" w:fill="auto"/>
            <w:vAlign w:val="center"/>
            <w:hideMark/>
          </w:tcPr>
          <w:p w14:paraId="2DFB4B74"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Mg</w:t>
            </w:r>
          </w:p>
        </w:tc>
        <w:tc>
          <w:tcPr>
            <w:tcW w:w="1023" w:type="dxa"/>
            <w:tcBorders>
              <w:top w:val="nil"/>
              <w:left w:val="nil"/>
              <w:bottom w:val="nil"/>
              <w:right w:val="nil"/>
            </w:tcBorders>
            <w:shd w:val="clear" w:color="auto" w:fill="auto"/>
            <w:vAlign w:val="center"/>
            <w:hideMark/>
          </w:tcPr>
          <w:p w14:paraId="1C8A624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Ca</w:t>
            </w:r>
          </w:p>
        </w:tc>
        <w:tc>
          <w:tcPr>
            <w:tcW w:w="1023" w:type="dxa"/>
            <w:tcBorders>
              <w:top w:val="nil"/>
              <w:left w:val="nil"/>
              <w:bottom w:val="nil"/>
              <w:right w:val="nil"/>
            </w:tcBorders>
            <w:shd w:val="clear" w:color="auto" w:fill="auto"/>
            <w:vAlign w:val="center"/>
            <w:hideMark/>
          </w:tcPr>
          <w:p w14:paraId="03E82B89"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S</w:t>
            </w:r>
          </w:p>
        </w:tc>
        <w:tc>
          <w:tcPr>
            <w:tcW w:w="921" w:type="dxa"/>
            <w:tcBorders>
              <w:top w:val="nil"/>
              <w:left w:val="nil"/>
              <w:bottom w:val="nil"/>
              <w:right w:val="nil"/>
            </w:tcBorders>
            <w:shd w:val="clear" w:color="auto" w:fill="auto"/>
            <w:vAlign w:val="center"/>
            <w:hideMark/>
          </w:tcPr>
          <w:p w14:paraId="7CDAEB0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B</w:t>
            </w:r>
          </w:p>
        </w:tc>
        <w:tc>
          <w:tcPr>
            <w:tcW w:w="921" w:type="dxa"/>
            <w:tcBorders>
              <w:top w:val="nil"/>
              <w:left w:val="nil"/>
              <w:bottom w:val="nil"/>
              <w:right w:val="nil"/>
            </w:tcBorders>
            <w:shd w:val="clear" w:color="auto" w:fill="auto"/>
            <w:vAlign w:val="center"/>
            <w:hideMark/>
          </w:tcPr>
          <w:p w14:paraId="75775796"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Zn</w:t>
            </w:r>
          </w:p>
        </w:tc>
        <w:tc>
          <w:tcPr>
            <w:tcW w:w="1023" w:type="dxa"/>
            <w:tcBorders>
              <w:top w:val="nil"/>
              <w:left w:val="nil"/>
              <w:bottom w:val="nil"/>
              <w:right w:val="nil"/>
            </w:tcBorders>
            <w:shd w:val="clear" w:color="auto" w:fill="auto"/>
            <w:vAlign w:val="center"/>
            <w:hideMark/>
          </w:tcPr>
          <w:p w14:paraId="7E6812FE"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Mn</w:t>
            </w:r>
          </w:p>
        </w:tc>
        <w:tc>
          <w:tcPr>
            <w:tcW w:w="1023" w:type="dxa"/>
            <w:tcBorders>
              <w:top w:val="nil"/>
              <w:left w:val="nil"/>
              <w:bottom w:val="nil"/>
              <w:right w:val="nil"/>
            </w:tcBorders>
            <w:shd w:val="clear" w:color="auto" w:fill="auto"/>
            <w:vAlign w:val="center"/>
            <w:hideMark/>
          </w:tcPr>
          <w:p w14:paraId="79ADA41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Fe</w:t>
            </w:r>
          </w:p>
        </w:tc>
        <w:tc>
          <w:tcPr>
            <w:tcW w:w="1028" w:type="dxa"/>
            <w:tcBorders>
              <w:top w:val="nil"/>
              <w:left w:val="nil"/>
              <w:bottom w:val="nil"/>
              <w:right w:val="nil"/>
            </w:tcBorders>
            <w:shd w:val="clear" w:color="auto" w:fill="auto"/>
            <w:vAlign w:val="center"/>
            <w:hideMark/>
          </w:tcPr>
          <w:p w14:paraId="157BFB84"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Cu</w:t>
            </w:r>
          </w:p>
        </w:tc>
      </w:tr>
      <w:tr w:rsidR="0081090D" w:rsidRPr="0081090D" w14:paraId="6E164C13" w14:textId="77777777" w:rsidTr="008C106B">
        <w:trPr>
          <w:trHeight w:val="330"/>
          <w:jc w:val="center"/>
        </w:trPr>
        <w:tc>
          <w:tcPr>
            <w:tcW w:w="2252" w:type="dxa"/>
            <w:gridSpan w:val="2"/>
            <w:vMerge/>
            <w:tcBorders>
              <w:top w:val="single" w:sz="4" w:space="0" w:color="000000"/>
              <w:left w:val="nil"/>
              <w:bottom w:val="single" w:sz="4" w:space="0" w:color="auto"/>
              <w:right w:val="nil"/>
            </w:tcBorders>
            <w:vAlign w:val="center"/>
            <w:hideMark/>
          </w:tcPr>
          <w:p w14:paraId="763FF3B2" w14:textId="77777777" w:rsidR="0081090D" w:rsidRPr="0081090D" w:rsidRDefault="0081090D" w:rsidP="0081090D">
            <w:pPr>
              <w:spacing w:after="0" w:line="240" w:lineRule="auto"/>
              <w:rPr>
                <w:rFonts w:ascii="Cambria" w:eastAsia="Times New Roman" w:hAnsi="Cambria" w:cs="Times New Roman"/>
                <w:color w:val="000000"/>
                <w:sz w:val="24"/>
                <w:szCs w:val="24"/>
              </w:rPr>
            </w:pPr>
          </w:p>
        </w:tc>
        <w:tc>
          <w:tcPr>
            <w:tcW w:w="6383" w:type="dxa"/>
            <w:gridSpan w:val="8"/>
            <w:tcBorders>
              <w:top w:val="nil"/>
              <w:left w:val="nil"/>
              <w:bottom w:val="single" w:sz="4" w:space="0" w:color="auto"/>
              <w:right w:val="nil"/>
            </w:tcBorders>
            <w:shd w:val="clear" w:color="auto" w:fill="auto"/>
            <w:hideMark/>
          </w:tcPr>
          <w:p w14:paraId="0E74EBA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 % --------------------------------</w:t>
            </w:r>
          </w:p>
        </w:tc>
        <w:tc>
          <w:tcPr>
            <w:tcW w:w="4919" w:type="dxa"/>
            <w:gridSpan w:val="6"/>
            <w:tcBorders>
              <w:top w:val="nil"/>
              <w:left w:val="nil"/>
              <w:bottom w:val="single" w:sz="4" w:space="0" w:color="auto"/>
              <w:right w:val="nil"/>
            </w:tcBorders>
            <w:shd w:val="clear" w:color="auto" w:fill="auto"/>
            <w:hideMark/>
          </w:tcPr>
          <w:p w14:paraId="36802B9F"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 ppm -----------------------</w:t>
            </w:r>
          </w:p>
        </w:tc>
      </w:tr>
      <w:tr w:rsidR="0081090D" w:rsidRPr="0081090D" w14:paraId="26F50711" w14:textId="77777777" w:rsidTr="0081090D">
        <w:trPr>
          <w:gridAfter w:val="1"/>
          <w:wAfter w:w="7" w:type="dxa"/>
          <w:trHeight w:val="673"/>
          <w:jc w:val="center"/>
        </w:trPr>
        <w:tc>
          <w:tcPr>
            <w:tcW w:w="2252" w:type="dxa"/>
            <w:gridSpan w:val="2"/>
            <w:tcBorders>
              <w:top w:val="single" w:sz="4" w:space="0" w:color="auto"/>
              <w:left w:val="nil"/>
              <w:bottom w:val="nil"/>
              <w:right w:val="nil"/>
            </w:tcBorders>
            <w:shd w:val="clear" w:color="auto" w:fill="BFBFBF"/>
            <w:vAlign w:val="center"/>
            <w:hideMark/>
          </w:tcPr>
          <w:p w14:paraId="68716285"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Vines 12 to 18 inches in length</w:t>
            </w:r>
          </w:p>
        </w:tc>
        <w:tc>
          <w:tcPr>
            <w:tcW w:w="1059" w:type="dxa"/>
            <w:gridSpan w:val="3"/>
            <w:tcBorders>
              <w:top w:val="nil"/>
              <w:left w:val="nil"/>
              <w:bottom w:val="nil"/>
              <w:right w:val="nil"/>
            </w:tcBorders>
            <w:shd w:val="clear" w:color="auto" w:fill="BFBFBF"/>
            <w:vAlign w:val="center"/>
          </w:tcPr>
          <w:p w14:paraId="60DD7EA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3.0-4.0</w:t>
            </w:r>
          </w:p>
        </w:tc>
        <w:tc>
          <w:tcPr>
            <w:tcW w:w="1023" w:type="dxa"/>
            <w:tcBorders>
              <w:top w:val="nil"/>
              <w:left w:val="nil"/>
              <w:bottom w:val="nil"/>
              <w:right w:val="nil"/>
            </w:tcBorders>
            <w:shd w:val="clear" w:color="auto" w:fill="BFBFBF"/>
            <w:vAlign w:val="center"/>
          </w:tcPr>
          <w:p w14:paraId="2C4FB91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0.3-0.5</w:t>
            </w:r>
          </w:p>
        </w:tc>
        <w:tc>
          <w:tcPr>
            <w:tcW w:w="1023" w:type="dxa"/>
            <w:tcBorders>
              <w:top w:val="nil"/>
              <w:left w:val="nil"/>
              <w:bottom w:val="nil"/>
              <w:right w:val="nil"/>
            </w:tcBorders>
            <w:shd w:val="clear" w:color="auto" w:fill="BFBFBF"/>
            <w:vAlign w:val="center"/>
          </w:tcPr>
          <w:p w14:paraId="097B54B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3.0-4.0</w:t>
            </w:r>
          </w:p>
        </w:tc>
        <w:tc>
          <w:tcPr>
            <w:tcW w:w="1228" w:type="dxa"/>
            <w:tcBorders>
              <w:top w:val="nil"/>
              <w:left w:val="nil"/>
              <w:bottom w:val="nil"/>
              <w:right w:val="nil"/>
            </w:tcBorders>
            <w:shd w:val="clear" w:color="auto" w:fill="BFBFBF"/>
            <w:vAlign w:val="center"/>
          </w:tcPr>
          <w:p w14:paraId="5B6E736E"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0.25-0.5</w:t>
            </w:r>
          </w:p>
        </w:tc>
        <w:tc>
          <w:tcPr>
            <w:tcW w:w="1023" w:type="dxa"/>
            <w:tcBorders>
              <w:top w:val="nil"/>
              <w:left w:val="nil"/>
              <w:bottom w:val="nil"/>
              <w:right w:val="nil"/>
            </w:tcBorders>
            <w:shd w:val="clear" w:color="auto" w:fill="BFBFBF"/>
            <w:vAlign w:val="center"/>
          </w:tcPr>
          <w:p w14:paraId="374F3993"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1.0-2.0</w:t>
            </w:r>
          </w:p>
        </w:tc>
        <w:tc>
          <w:tcPr>
            <w:tcW w:w="1023" w:type="dxa"/>
            <w:tcBorders>
              <w:top w:val="nil"/>
              <w:left w:val="nil"/>
              <w:bottom w:val="nil"/>
              <w:right w:val="nil"/>
            </w:tcBorders>
            <w:shd w:val="clear" w:color="auto" w:fill="BFBFBF"/>
            <w:vAlign w:val="center"/>
          </w:tcPr>
          <w:p w14:paraId="7560847B"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0.2-0.4</w:t>
            </w:r>
          </w:p>
        </w:tc>
        <w:tc>
          <w:tcPr>
            <w:tcW w:w="921" w:type="dxa"/>
            <w:tcBorders>
              <w:top w:val="nil"/>
              <w:left w:val="nil"/>
              <w:bottom w:val="nil"/>
              <w:right w:val="nil"/>
            </w:tcBorders>
            <w:shd w:val="clear" w:color="auto" w:fill="BFBFBF"/>
            <w:vAlign w:val="center"/>
          </w:tcPr>
          <w:p w14:paraId="12C758D9"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921" w:type="dxa"/>
            <w:tcBorders>
              <w:top w:val="nil"/>
              <w:left w:val="nil"/>
              <w:bottom w:val="nil"/>
              <w:right w:val="nil"/>
            </w:tcBorders>
            <w:shd w:val="clear" w:color="auto" w:fill="BFBFBF"/>
            <w:vAlign w:val="center"/>
          </w:tcPr>
          <w:p w14:paraId="04A8418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1023" w:type="dxa"/>
            <w:tcBorders>
              <w:top w:val="nil"/>
              <w:left w:val="nil"/>
              <w:bottom w:val="nil"/>
              <w:right w:val="nil"/>
            </w:tcBorders>
            <w:shd w:val="clear" w:color="auto" w:fill="BFBFBF"/>
            <w:vAlign w:val="center"/>
          </w:tcPr>
          <w:p w14:paraId="45E73AA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20-100</w:t>
            </w:r>
          </w:p>
        </w:tc>
        <w:tc>
          <w:tcPr>
            <w:tcW w:w="1023" w:type="dxa"/>
            <w:tcBorders>
              <w:top w:val="nil"/>
              <w:left w:val="nil"/>
              <w:bottom w:val="nil"/>
              <w:right w:val="nil"/>
            </w:tcBorders>
            <w:shd w:val="clear" w:color="auto" w:fill="BFBFBF"/>
            <w:vAlign w:val="center"/>
          </w:tcPr>
          <w:p w14:paraId="52C0F0C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30-100</w:t>
            </w:r>
          </w:p>
        </w:tc>
        <w:tc>
          <w:tcPr>
            <w:tcW w:w="1028" w:type="dxa"/>
            <w:tcBorders>
              <w:top w:val="nil"/>
              <w:left w:val="nil"/>
              <w:bottom w:val="nil"/>
              <w:right w:val="nil"/>
            </w:tcBorders>
            <w:shd w:val="clear" w:color="auto" w:fill="BFBFBF"/>
            <w:vAlign w:val="center"/>
          </w:tcPr>
          <w:p w14:paraId="4EE0F3C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5-10</w:t>
            </w:r>
          </w:p>
        </w:tc>
      </w:tr>
      <w:tr w:rsidR="0081090D" w:rsidRPr="0081090D" w14:paraId="0188BE07" w14:textId="77777777" w:rsidTr="008C106B">
        <w:trPr>
          <w:gridAfter w:val="1"/>
          <w:wAfter w:w="7" w:type="dxa"/>
          <w:trHeight w:val="673"/>
          <w:jc w:val="center"/>
        </w:trPr>
        <w:tc>
          <w:tcPr>
            <w:tcW w:w="2252" w:type="dxa"/>
            <w:gridSpan w:val="2"/>
            <w:tcBorders>
              <w:top w:val="nil"/>
              <w:left w:val="nil"/>
              <w:bottom w:val="nil"/>
              <w:right w:val="nil"/>
            </w:tcBorders>
            <w:shd w:val="clear" w:color="auto" w:fill="auto"/>
            <w:vAlign w:val="center"/>
            <w:hideMark/>
          </w:tcPr>
          <w:p w14:paraId="211CCEA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First Flower</w:t>
            </w:r>
          </w:p>
        </w:tc>
        <w:tc>
          <w:tcPr>
            <w:tcW w:w="1059" w:type="dxa"/>
            <w:gridSpan w:val="3"/>
            <w:tcBorders>
              <w:top w:val="nil"/>
              <w:left w:val="nil"/>
              <w:bottom w:val="nil"/>
              <w:right w:val="nil"/>
            </w:tcBorders>
            <w:shd w:val="clear" w:color="auto" w:fill="auto"/>
            <w:vAlign w:val="center"/>
          </w:tcPr>
          <w:p w14:paraId="692F937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2.5-3.5</w:t>
            </w:r>
          </w:p>
        </w:tc>
        <w:tc>
          <w:tcPr>
            <w:tcW w:w="1023" w:type="dxa"/>
            <w:tcBorders>
              <w:top w:val="nil"/>
              <w:left w:val="nil"/>
              <w:bottom w:val="nil"/>
              <w:right w:val="nil"/>
            </w:tcBorders>
            <w:shd w:val="clear" w:color="auto" w:fill="auto"/>
            <w:vAlign w:val="center"/>
          </w:tcPr>
          <w:p w14:paraId="6139E133"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0.3-0.5</w:t>
            </w:r>
          </w:p>
        </w:tc>
        <w:tc>
          <w:tcPr>
            <w:tcW w:w="1023" w:type="dxa"/>
            <w:tcBorders>
              <w:top w:val="nil"/>
              <w:left w:val="nil"/>
              <w:bottom w:val="nil"/>
              <w:right w:val="nil"/>
            </w:tcBorders>
            <w:shd w:val="clear" w:color="auto" w:fill="auto"/>
            <w:vAlign w:val="center"/>
          </w:tcPr>
          <w:p w14:paraId="0481439D"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2.7-3.5</w:t>
            </w:r>
          </w:p>
        </w:tc>
        <w:tc>
          <w:tcPr>
            <w:tcW w:w="1228" w:type="dxa"/>
            <w:tcBorders>
              <w:top w:val="nil"/>
              <w:left w:val="nil"/>
              <w:bottom w:val="nil"/>
              <w:right w:val="nil"/>
            </w:tcBorders>
            <w:shd w:val="clear" w:color="auto" w:fill="auto"/>
            <w:vAlign w:val="center"/>
          </w:tcPr>
          <w:p w14:paraId="6E0B8898"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0.25-0.5</w:t>
            </w:r>
          </w:p>
        </w:tc>
        <w:tc>
          <w:tcPr>
            <w:tcW w:w="1023" w:type="dxa"/>
            <w:tcBorders>
              <w:top w:val="nil"/>
              <w:left w:val="nil"/>
              <w:bottom w:val="nil"/>
              <w:right w:val="nil"/>
            </w:tcBorders>
            <w:shd w:val="clear" w:color="auto" w:fill="auto"/>
            <w:vAlign w:val="center"/>
          </w:tcPr>
          <w:p w14:paraId="4B840FA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1.0-2.0</w:t>
            </w:r>
          </w:p>
        </w:tc>
        <w:tc>
          <w:tcPr>
            <w:tcW w:w="1023" w:type="dxa"/>
            <w:tcBorders>
              <w:top w:val="nil"/>
              <w:left w:val="nil"/>
              <w:bottom w:val="nil"/>
              <w:right w:val="nil"/>
            </w:tcBorders>
            <w:shd w:val="clear" w:color="auto" w:fill="auto"/>
            <w:vAlign w:val="center"/>
          </w:tcPr>
          <w:p w14:paraId="24594AD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0.2-0.4</w:t>
            </w:r>
          </w:p>
        </w:tc>
        <w:tc>
          <w:tcPr>
            <w:tcW w:w="921" w:type="dxa"/>
            <w:tcBorders>
              <w:top w:val="nil"/>
              <w:left w:val="nil"/>
              <w:bottom w:val="nil"/>
              <w:right w:val="nil"/>
            </w:tcBorders>
            <w:shd w:val="clear" w:color="auto" w:fill="auto"/>
            <w:vAlign w:val="center"/>
          </w:tcPr>
          <w:p w14:paraId="109802E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921" w:type="dxa"/>
            <w:tcBorders>
              <w:top w:val="nil"/>
              <w:left w:val="nil"/>
              <w:bottom w:val="nil"/>
              <w:right w:val="nil"/>
            </w:tcBorders>
            <w:shd w:val="clear" w:color="auto" w:fill="auto"/>
            <w:vAlign w:val="center"/>
          </w:tcPr>
          <w:p w14:paraId="32B41CA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1023" w:type="dxa"/>
            <w:tcBorders>
              <w:top w:val="nil"/>
              <w:left w:val="nil"/>
              <w:bottom w:val="nil"/>
              <w:right w:val="nil"/>
            </w:tcBorders>
            <w:shd w:val="clear" w:color="auto" w:fill="auto"/>
            <w:vAlign w:val="center"/>
          </w:tcPr>
          <w:p w14:paraId="42BB159E"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20-100</w:t>
            </w:r>
          </w:p>
        </w:tc>
        <w:tc>
          <w:tcPr>
            <w:tcW w:w="1023" w:type="dxa"/>
            <w:tcBorders>
              <w:top w:val="nil"/>
              <w:left w:val="nil"/>
              <w:bottom w:val="nil"/>
              <w:right w:val="nil"/>
            </w:tcBorders>
            <w:shd w:val="clear" w:color="auto" w:fill="auto"/>
            <w:vAlign w:val="center"/>
          </w:tcPr>
          <w:p w14:paraId="1E393308"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30-100</w:t>
            </w:r>
          </w:p>
        </w:tc>
        <w:tc>
          <w:tcPr>
            <w:tcW w:w="1028" w:type="dxa"/>
            <w:tcBorders>
              <w:top w:val="nil"/>
              <w:left w:val="nil"/>
              <w:bottom w:val="nil"/>
              <w:right w:val="nil"/>
            </w:tcBorders>
            <w:shd w:val="clear" w:color="auto" w:fill="auto"/>
            <w:vAlign w:val="center"/>
          </w:tcPr>
          <w:p w14:paraId="13676B36"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5-10</w:t>
            </w:r>
          </w:p>
        </w:tc>
      </w:tr>
      <w:tr w:rsidR="0081090D" w:rsidRPr="0081090D" w14:paraId="20C85251" w14:textId="77777777" w:rsidTr="0081090D">
        <w:trPr>
          <w:gridAfter w:val="1"/>
          <w:wAfter w:w="7" w:type="dxa"/>
          <w:trHeight w:val="673"/>
          <w:jc w:val="center"/>
        </w:trPr>
        <w:tc>
          <w:tcPr>
            <w:tcW w:w="2252" w:type="dxa"/>
            <w:gridSpan w:val="2"/>
            <w:tcBorders>
              <w:top w:val="nil"/>
              <w:left w:val="nil"/>
              <w:bottom w:val="nil"/>
              <w:right w:val="nil"/>
            </w:tcBorders>
            <w:shd w:val="clear" w:color="auto" w:fill="BFBFBF"/>
            <w:vAlign w:val="center"/>
            <w:hideMark/>
          </w:tcPr>
          <w:p w14:paraId="75EEC9FD"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First Fruit</w:t>
            </w:r>
          </w:p>
        </w:tc>
        <w:tc>
          <w:tcPr>
            <w:tcW w:w="1059" w:type="dxa"/>
            <w:gridSpan w:val="3"/>
            <w:tcBorders>
              <w:top w:val="nil"/>
              <w:left w:val="nil"/>
              <w:bottom w:val="nil"/>
              <w:right w:val="nil"/>
            </w:tcBorders>
            <w:shd w:val="clear" w:color="auto" w:fill="BFBFBF"/>
            <w:vAlign w:val="center"/>
          </w:tcPr>
          <w:p w14:paraId="64C7D8A2"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2.0-3.0</w:t>
            </w:r>
          </w:p>
        </w:tc>
        <w:tc>
          <w:tcPr>
            <w:tcW w:w="1023" w:type="dxa"/>
            <w:tcBorders>
              <w:top w:val="nil"/>
              <w:left w:val="nil"/>
              <w:bottom w:val="nil"/>
              <w:right w:val="nil"/>
            </w:tcBorders>
            <w:shd w:val="clear" w:color="auto" w:fill="BFBFBF"/>
            <w:vAlign w:val="center"/>
          </w:tcPr>
          <w:p w14:paraId="61CEAF9E"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0.3-0.5</w:t>
            </w:r>
          </w:p>
        </w:tc>
        <w:tc>
          <w:tcPr>
            <w:tcW w:w="1023" w:type="dxa"/>
            <w:tcBorders>
              <w:top w:val="nil"/>
              <w:left w:val="nil"/>
              <w:bottom w:val="nil"/>
              <w:right w:val="nil"/>
            </w:tcBorders>
            <w:shd w:val="clear" w:color="auto" w:fill="BFBFBF"/>
            <w:vAlign w:val="center"/>
          </w:tcPr>
          <w:p w14:paraId="51342866"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2.3-3.5</w:t>
            </w:r>
          </w:p>
        </w:tc>
        <w:tc>
          <w:tcPr>
            <w:tcW w:w="1228" w:type="dxa"/>
            <w:tcBorders>
              <w:top w:val="nil"/>
              <w:left w:val="nil"/>
              <w:bottom w:val="nil"/>
              <w:right w:val="nil"/>
            </w:tcBorders>
            <w:shd w:val="clear" w:color="auto" w:fill="BFBFBF"/>
            <w:vAlign w:val="center"/>
          </w:tcPr>
          <w:p w14:paraId="58FEAF63"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0.25-0.5</w:t>
            </w:r>
          </w:p>
        </w:tc>
        <w:tc>
          <w:tcPr>
            <w:tcW w:w="1023" w:type="dxa"/>
            <w:tcBorders>
              <w:top w:val="nil"/>
              <w:left w:val="nil"/>
              <w:bottom w:val="nil"/>
              <w:right w:val="nil"/>
            </w:tcBorders>
            <w:shd w:val="clear" w:color="auto" w:fill="BFBFBF"/>
            <w:vAlign w:val="center"/>
          </w:tcPr>
          <w:p w14:paraId="3D9B5D1B"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1.0-2.0</w:t>
            </w:r>
          </w:p>
        </w:tc>
        <w:tc>
          <w:tcPr>
            <w:tcW w:w="1023" w:type="dxa"/>
            <w:tcBorders>
              <w:top w:val="nil"/>
              <w:left w:val="nil"/>
              <w:bottom w:val="nil"/>
              <w:right w:val="nil"/>
            </w:tcBorders>
            <w:shd w:val="clear" w:color="auto" w:fill="BFBFBF"/>
            <w:vAlign w:val="center"/>
          </w:tcPr>
          <w:p w14:paraId="0C4F9D1E"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0.2-0.4</w:t>
            </w:r>
          </w:p>
        </w:tc>
        <w:tc>
          <w:tcPr>
            <w:tcW w:w="921" w:type="dxa"/>
            <w:tcBorders>
              <w:top w:val="nil"/>
              <w:left w:val="nil"/>
              <w:bottom w:val="nil"/>
              <w:right w:val="nil"/>
            </w:tcBorders>
            <w:shd w:val="clear" w:color="auto" w:fill="BFBFBF"/>
            <w:vAlign w:val="center"/>
          </w:tcPr>
          <w:p w14:paraId="654B463D"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921" w:type="dxa"/>
            <w:tcBorders>
              <w:top w:val="nil"/>
              <w:left w:val="nil"/>
              <w:bottom w:val="nil"/>
              <w:right w:val="nil"/>
            </w:tcBorders>
            <w:shd w:val="clear" w:color="auto" w:fill="BFBFBF"/>
            <w:vAlign w:val="center"/>
          </w:tcPr>
          <w:p w14:paraId="13D270CC"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1023" w:type="dxa"/>
            <w:tcBorders>
              <w:top w:val="nil"/>
              <w:left w:val="nil"/>
              <w:bottom w:val="nil"/>
              <w:right w:val="nil"/>
            </w:tcBorders>
            <w:shd w:val="clear" w:color="auto" w:fill="BFBFBF"/>
            <w:vAlign w:val="center"/>
          </w:tcPr>
          <w:p w14:paraId="0B3E0566"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20-100</w:t>
            </w:r>
          </w:p>
        </w:tc>
        <w:tc>
          <w:tcPr>
            <w:tcW w:w="1023" w:type="dxa"/>
            <w:tcBorders>
              <w:top w:val="nil"/>
              <w:left w:val="nil"/>
              <w:bottom w:val="nil"/>
              <w:right w:val="nil"/>
            </w:tcBorders>
            <w:shd w:val="clear" w:color="auto" w:fill="BFBFBF"/>
            <w:vAlign w:val="center"/>
          </w:tcPr>
          <w:p w14:paraId="6561D1E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30-100</w:t>
            </w:r>
          </w:p>
        </w:tc>
        <w:tc>
          <w:tcPr>
            <w:tcW w:w="1028" w:type="dxa"/>
            <w:tcBorders>
              <w:top w:val="nil"/>
              <w:left w:val="nil"/>
              <w:bottom w:val="nil"/>
              <w:right w:val="nil"/>
            </w:tcBorders>
            <w:shd w:val="clear" w:color="auto" w:fill="BFBFBF"/>
            <w:vAlign w:val="center"/>
          </w:tcPr>
          <w:p w14:paraId="74BD6493"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5-10</w:t>
            </w:r>
          </w:p>
        </w:tc>
      </w:tr>
      <w:tr w:rsidR="0081090D" w:rsidRPr="0081090D" w14:paraId="6797EED7" w14:textId="77777777" w:rsidTr="008C106B">
        <w:trPr>
          <w:gridAfter w:val="1"/>
          <w:wAfter w:w="7" w:type="dxa"/>
          <w:trHeight w:val="776"/>
          <w:jc w:val="center"/>
        </w:trPr>
        <w:tc>
          <w:tcPr>
            <w:tcW w:w="2252" w:type="dxa"/>
            <w:gridSpan w:val="2"/>
            <w:tcBorders>
              <w:top w:val="nil"/>
              <w:left w:val="nil"/>
              <w:bottom w:val="single" w:sz="8" w:space="0" w:color="auto"/>
              <w:right w:val="nil"/>
            </w:tcBorders>
            <w:shd w:val="clear" w:color="auto" w:fill="auto"/>
            <w:vAlign w:val="center"/>
            <w:hideMark/>
          </w:tcPr>
          <w:p w14:paraId="400AAB18"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Harvest Period</w:t>
            </w:r>
          </w:p>
        </w:tc>
        <w:tc>
          <w:tcPr>
            <w:tcW w:w="1059" w:type="dxa"/>
            <w:gridSpan w:val="3"/>
            <w:tcBorders>
              <w:top w:val="nil"/>
              <w:left w:val="nil"/>
              <w:bottom w:val="single" w:sz="8" w:space="0" w:color="auto"/>
              <w:right w:val="nil"/>
            </w:tcBorders>
            <w:shd w:val="clear" w:color="auto" w:fill="auto"/>
            <w:vAlign w:val="center"/>
          </w:tcPr>
          <w:p w14:paraId="74527E00"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2.0-3.0</w:t>
            </w:r>
          </w:p>
        </w:tc>
        <w:tc>
          <w:tcPr>
            <w:tcW w:w="1023" w:type="dxa"/>
            <w:tcBorders>
              <w:top w:val="nil"/>
              <w:left w:val="nil"/>
              <w:bottom w:val="single" w:sz="8" w:space="0" w:color="auto"/>
              <w:right w:val="nil"/>
            </w:tcBorders>
            <w:shd w:val="clear" w:color="auto" w:fill="auto"/>
            <w:vAlign w:val="center"/>
          </w:tcPr>
          <w:p w14:paraId="1BB8AE6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0.3-0.5</w:t>
            </w:r>
          </w:p>
        </w:tc>
        <w:tc>
          <w:tcPr>
            <w:tcW w:w="1023" w:type="dxa"/>
            <w:tcBorders>
              <w:top w:val="nil"/>
              <w:left w:val="nil"/>
              <w:bottom w:val="single" w:sz="8" w:space="0" w:color="auto"/>
              <w:right w:val="nil"/>
            </w:tcBorders>
            <w:shd w:val="clear" w:color="auto" w:fill="auto"/>
            <w:vAlign w:val="center"/>
          </w:tcPr>
          <w:p w14:paraId="170673C4"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2.0-3.0</w:t>
            </w:r>
          </w:p>
        </w:tc>
        <w:tc>
          <w:tcPr>
            <w:tcW w:w="1228" w:type="dxa"/>
            <w:tcBorders>
              <w:top w:val="nil"/>
              <w:left w:val="nil"/>
              <w:bottom w:val="single" w:sz="8" w:space="0" w:color="auto"/>
              <w:right w:val="nil"/>
            </w:tcBorders>
            <w:shd w:val="clear" w:color="auto" w:fill="auto"/>
            <w:vAlign w:val="center"/>
          </w:tcPr>
          <w:p w14:paraId="6D93E65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0.25-0.5</w:t>
            </w:r>
          </w:p>
        </w:tc>
        <w:tc>
          <w:tcPr>
            <w:tcW w:w="1023" w:type="dxa"/>
            <w:tcBorders>
              <w:top w:val="nil"/>
              <w:left w:val="nil"/>
              <w:bottom w:val="single" w:sz="8" w:space="0" w:color="auto"/>
              <w:right w:val="nil"/>
            </w:tcBorders>
            <w:shd w:val="clear" w:color="auto" w:fill="auto"/>
            <w:vAlign w:val="center"/>
          </w:tcPr>
          <w:p w14:paraId="5DF88406"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1.0-2.0</w:t>
            </w:r>
          </w:p>
        </w:tc>
        <w:tc>
          <w:tcPr>
            <w:tcW w:w="1023" w:type="dxa"/>
            <w:tcBorders>
              <w:top w:val="nil"/>
              <w:left w:val="nil"/>
              <w:bottom w:val="single" w:sz="8" w:space="0" w:color="auto"/>
              <w:right w:val="nil"/>
            </w:tcBorders>
            <w:shd w:val="clear" w:color="auto" w:fill="auto"/>
            <w:vAlign w:val="center"/>
          </w:tcPr>
          <w:p w14:paraId="21EDD41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0.2-0.4</w:t>
            </w:r>
          </w:p>
        </w:tc>
        <w:tc>
          <w:tcPr>
            <w:tcW w:w="921" w:type="dxa"/>
            <w:tcBorders>
              <w:top w:val="nil"/>
              <w:left w:val="nil"/>
              <w:bottom w:val="single" w:sz="8" w:space="0" w:color="auto"/>
              <w:right w:val="nil"/>
            </w:tcBorders>
            <w:shd w:val="clear" w:color="auto" w:fill="auto"/>
            <w:vAlign w:val="center"/>
          </w:tcPr>
          <w:p w14:paraId="3BEE3E23"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921" w:type="dxa"/>
            <w:tcBorders>
              <w:top w:val="nil"/>
              <w:left w:val="nil"/>
              <w:bottom w:val="single" w:sz="8" w:space="0" w:color="auto"/>
              <w:right w:val="nil"/>
            </w:tcBorders>
            <w:shd w:val="clear" w:color="auto" w:fill="auto"/>
            <w:vAlign w:val="center"/>
          </w:tcPr>
          <w:p w14:paraId="3DD29F01"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20-40</w:t>
            </w:r>
          </w:p>
        </w:tc>
        <w:tc>
          <w:tcPr>
            <w:tcW w:w="1023" w:type="dxa"/>
            <w:tcBorders>
              <w:top w:val="nil"/>
              <w:left w:val="nil"/>
              <w:bottom w:val="single" w:sz="8" w:space="0" w:color="auto"/>
              <w:right w:val="nil"/>
            </w:tcBorders>
            <w:shd w:val="clear" w:color="auto" w:fill="auto"/>
            <w:vAlign w:val="center"/>
          </w:tcPr>
          <w:p w14:paraId="542ABE7B"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20-100</w:t>
            </w:r>
          </w:p>
        </w:tc>
        <w:tc>
          <w:tcPr>
            <w:tcW w:w="1023" w:type="dxa"/>
            <w:tcBorders>
              <w:top w:val="nil"/>
              <w:left w:val="nil"/>
              <w:bottom w:val="single" w:sz="8" w:space="0" w:color="auto"/>
              <w:right w:val="nil"/>
            </w:tcBorders>
            <w:shd w:val="clear" w:color="auto" w:fill="auto"/>
            <w:vAlign w:val="center"/>
          </w:tcPr>
          <w:p w14:paraId="06DA5BB7"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30-100</w:t>
            </w:r>
          </w:p>
        </w:tc>
        <w:tc>
          <w:tcPr>
            <w:tcW w:w="1028" w:type="dxa"/>
            <w:tcBorders>
              <w:top w:val="nil"/>
              <w:left w:val="nil"/>
              <w:bottom w:val="single" w:sz="8" w:space="0" w:color="auto"/>
              <w:right w:val="nil"/>
            </w:tcBorders>
            <w:shd w:val="clear" w:color="auto" w:fill="auto"/>
            <w:vAlign w:val="center"/>
          </w:tcPr>
          <w:p w14:paraId="01FD2598" w14:textId="77777777" w:rsidR="0081090D" w:rsidRPr="0081090D" w:rsidRDefault="0081090D" w:rsidP="0081090D">
            <w:pPr>
              <w:spacing w:after="0" w:line="240" w:lineRule="auto"/>
              <w:jc w:val="center"/>
              <w:rPr>
                <w:rFonts w:ascii="Cambria" w:eastAsia="Times New Roman" w:hAnsi="Cambria" w:cs="Times New Roman"/>
                <w:color w:val="000000"/>
                <w:sz w:val="24"/>
                <w:szCs w:val="24"/>
              </w:rPr>
            </w:pPr>
            <w:r w:rsidRPr="0081090D">
              <w:rPr>
                <w:rFonts w:ascii="Cambria" w:eastAsia="Times New Roman" w:hAnsi="Cambria" w:cs="Times New Roman"/>
                <w:color w:val="000000"/>
                <w:sz w:val="24"/>
                <w:szCs w:val="24"/>
              </w:rPr>
              <w:t>3-10</w:t>
            </w:r>
          </w:p>
        </w:tc>
      </w:tr>
    </w:tbl>
    <w:p w14:paraId="4AB297E8" w14:textId="77777777" w:rsidR="0081090D" w:rsidRPr="0081090D" w:rsidRDefault="0081090D" w:rsidP="0081090D">
      <w:pPr>
        <w:spacing w:after="200" w:line="276" w:lineRule="auto"/>
        <w:rPr>
          <w:rFonts w:ascii="Cambria" w:eastAsia="Times New Roman" w:hAnsi="Cambria" w:cs="Times New Roman"/>
          <w:sz w:val="24"/>
          <w:szCs w:val="24"/>
        </w:rPr>
      </w:pPr>
    </w:p>
    <w:p w14:paraId="407A7C0B" w14:textId="77777777" w:rsidR="0081090D" w:rsidRPr="0081090D" w:rsidRDefault="0081090D" w:rsidP="0081090D">
      <w:pPr>
        <w:spacing w:after="200" w:line="276" w:lineRule="auto"/>
        <w:rPr>
          <w:rFonts w:ascii="Cambria" w:eastAsia="Times New Roman" w:hAnsi="Cambria" w:cs="Times New Roman"/>
          <w:sz w:val="24"/>
          <w:szCs w:val="24"/>
        </w:rPr>
      </w:pPr>
    </w:p>
    <w:p w14:paraId="35F586E4" w14:textId="77777777" w:rsidR="0081090D" w:rsidRPr="0081090D" w:rsidRDefault="0081090D" w:rsidP="0081090D">
      <w:pPr>
        <w:spacing w:after="200" w:line="276" w:lineRule="auto"/>
        <w:rPr>
          <w:rFonts w:ascii="Cambria" w:eastAsia="Times New Roman" w:hAnsi="Cambria" w:cs="Times New Roman"/>
          <w:sz w:val="24"/>
          <w:szCs w:val="24"/>
        </w:rPr>
        <w:sectPr w:rsidR="0081090D" w:rsidRPr="0081090D" w:rsidSect="006841B6">
          <w:pgSz w:w="15840" w:h="12240" w:orient="landscape"/>
          <w:pgMar w:top="1440" w:right="1440" w:bottom="1440" w:left="1440" w:header="720" w:footer="720" w:gutter="0"/>
          <w:cols w:space="720"/>
          <w:docGrid w:linePitch="360"/>
        </w:sectPr>
      </w:pPr>
    </w:p>
    <w:p w14:paraId="2744AAF4"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lastRenderedPageBreak/>
        <w:t>Table 3. Readings of fresh petiole sap concentration of nitrate-N and potassium at various growth stages.</w:t>
      </w:r>
    </w:p>
    <w:tbl>
      <w:tblPr>
        <w:tblW w:w="9809" w:type="dxa"/>
        <w:jc w:val="center"/>
        <w:tblLook w:val="04A0" w:firstRow="1" w:lastRow="0" w:firstColumn="1" w:lastColumn="0" w:noHBand="0" w:noVBand="1"/>
      </w:tblPr>
      <w:tblGrid>
        <w:gridCol w:w="1124"/>
        <w:gridCol w:w="3556"/>
        <w:gridCol w:w="1463"/>
        <w:gridCol w:w="990"/>
        <w:gridCol w:w="276"/>
        <w:gridCol w:w="1507"/>
        <w:gridCol w:w="992"/>
      </w:tblGrid>
      <w:tr w:rsidR="0081090D" w:rsidRPr="0081090D" w14:paraId="1C11F4CB" w14:textId="77777777" w:rsidTr="008C106B">
        <w:trPr>
          <w:trHeight w:val="304"/>
          <w:jc w:val="center"/>
        </w:trPr>
        <w:tc>
          <w:tcPr>
            <w:tcW w:w="1124" w:type="dxa"/>
            <w:tcBorders>
              <w:top w:val="nil"/>
              <w:left w:val="nil"/>
              <w:bottom w:val="single" w:sz="4" w:space="0" w:color="auto"/>
              <w:right w:val="nil"/>
            </w:tcBorders>
            <w:shd w:val="clear" w:color="auto" w:fill="auto"/>
            <w:noWrap/>
            <w:vAlign w:val="bottom"/>
            <w:hideMark/>
          </w:tcPr>
          <w:p w14:paraId="105F091E"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c>
          <w:tcPr>
            <w:tcW w:w="3556" w:type="dxa"/>
            <w:tcBorders>
              <w:top w:val="nil"/>
              <w:left w:val="nil"/>
              <w:bottom w:val="single" w:sz="4" w:space="0" w:color="auto"/>
              <w:right w:val="nil"/>
            </w:tcBorders>
            <w:shd w:val="clear" w:color="auto" w:fill="auto"/>
            <w:noWrap/>
            <w:vAlign w:val="bottom"/>
            <w:hideMark/>
          </w:tcPr>
          <w:p w14:paraId="28ED7966"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c>
          <w:tcPr>
            <w:tcW w:w="1364" w:type="dxa"/>
            <w:tcBorders>
              <w:top w:val="nil"/>
              <w:left w:val="nil"/>
              <w:bottom w:val="single" w:sz="4" w:space="0" w:color="auto"/>
              <w:right w:val="nil"/>
            </w:tcBorders>
            <w:shd w:val="clear" w:color="auto" w:fill="auto"/>
            <w:noWrap/>
            <w:vAlign w:val="bottom"/>
            <w:hideMark/>
          </w:tcPr>
          <w:p w14:paraId="39570C0E"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c>
          <w:tcPr>
            <w:tcW w:w="990" w:type="dxa"/>
            <w:tcBorders>
              <w:top w:val="nil"/>
              <w:left w:val="nil"/>
              <w:bottom w:val="single" w:sz="4" w:space="0" w:color="auto"/>
              <w:right w:val="nil"/>
            </w:tcBorders>
            <w:shd w:val="clear" w:color="auto" w:fill="auto"/>
            <w:noWrap/>
            <w:vAlign w:val="bottom"/>
            <w:hideMark/>
          </w:tcPr>
          <w:p w14:paraId="5B76524C" w14:textId="77777777" w:rsidR="0081090D" w:rsidRPr="0081090D" w:rsidRDefault="0081090D" w:rsidP="0081090D">
            <w:pPr>
              <w:spacing w:after="0" w:line="274" w:lineRule="atLeast"/>
              <w:rPr>
                <w:rFonts w:ascii="Cambria" w:eastAsia="Times New Roman" w:hAnsi="Cambria" w:cs="Calibri"/>
                <w:color w:val="000000"/>
              </w:rPr>
            </w:pPr>
            <w:r w:rsidRPr="0081090D">
              <w:rPr>
                <w:rFonts w:ascii="Cambria" w:eastAsia="Times New Roman" w:hAnsi="Cambria" w:cs="Calibri"/>
                <w:color w:val="000000"/>
              </w:rPr>
              <w:t> </w:t>
            </w:r>
          </w:p>
        </w:tc>
        <w:tc>
          <w:tcPr>
            <w:tcW w:w="276" w:type="dxa"/>
            <w:tcBorders>
              <w:top w:val="nil"/>
              <w:left w:val="nil"/>
              <w:bottom w:val="single" w:sz="4" w:space="0" w:color="auto"/>
              <w:right w:val="nil"/>
            </w:tcBorders>
            <w:shd w:val="clear" w:color="auto" w:fill="auto"/>
            <w:noWrap/>
            <w:vAlign w:val="bottom"/>
            <w:hideMark/>
          </w:tcPr>
          <w:p w14:paraId="654005F3"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c>
          <w:tcPr>
            <w:tcW w:w="1507" w:type="dxa"/>
            <w:tcBorders>
              <w:top w:val="nil"/>
              <w:left w:val="nil"/>
              <w:bottom w:val="single" w:sz="4" w:space="0" w:color="auto"/>
              <w:right w:val="nil"/>
            </w:tcBorders>
            <w:shd w:val="clear" w:color="auto" w:fill="auto"/>
            <w:noWrap/>
            <w:vAlign w:val="bottom"/>
            <w:hideMark/>
          </w:tcPr>
          <w:p w14:paraId="64311B09"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c>
          <w:tcPr>
            <w:tcW w:w="992" w:type="dxa"/>
            <w:tcBorders>
              <w:top w:val="nil"/>
              <w:left w:val="nil"/>
              <w:bottom w:val="single" w:sz="4" w:space="0" w:color="auto"/>
              <w:right w:val="nil"/>
            </w:tcBorders>
            <w:shd w:val="clear" w:color="auto" w:fill="auto"/>
            <w:noWrap/>
            <w:vAlign w:val="bottom"/>
            <w:hideMark/>
          </w:tcPr>
          <w:p w14:paraId="4AE7075A"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 </w:t>
            </w:r>
          </w:p>
        </w:tc>
      </w:tr>
      <w:tr w:rsidR="0081090D" w:rsidRPr="0081090D" w14:paraId="31C9841F" w14:textId="77777777" w:rsidTr="008C106B">
        <w:trPr>
          <w:trHeight w:val="450"/>
          <w:jc w:val="center"/>
        </w:trPr>
        <w:tc>
          <w:tcPr>
            <w:tcW w:w="1124" w:type="dxa"/>
            <w:vMerge w:val="restart"/>
            <w:tcBorders>
              <w:top w:val="nil"/>
              <w:left w:val="nil"/>
              <w:bottom w:val="single" w:sz="4" w:space="0" w:color="000000"/>
              <w:right w:val="nil"/>
            </w:tcBorders>
            <w:shd w:val="clear" w:color="auto" w:fill="auto"/>
            <w:vAlign w:val="center"/>
            <w:hideMark/>
          </w:tcPr>
          <w:p w14:paraId="77E8D53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Sampling Date</w:t>
            </w:r>
          </w:p>
        </w:tc>
        <w:tc>
          <w:tcPr>
            <w:tcW w:w="3556" w:type="dxa"/>
            <w:vMerge w:val="restart"/>
            <w:tcBorders>
              <w:top w:val="nil"/>
              <w:left w:val="nil"/>
              <w:bottom w:val="single" w:sz="4" w:space="0" w:color="000000"/>
              <w:right w:val="nil"/>
            </w:tcBorders>
            <w:shd w:val="clear" w:color="auto" w:fill="auto"/>
            <w:vAlign w:val="center"/>
            <w:hideMark/>
          </w:tcPr>
          <w:p w14:paraId="3A48145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Stage of Growth</w:t>
            </w:r>
          </w:p>
        </w:tc>
        <w:tc>
          <w:tcPr>
            <w:tcW w:w="5129" w:type="dxa"/>
            <w:gridSpan w:val="5"/>
            <w:tcBorders>
              <w:top w:val="single" w:sz="4" w:space="0" w:color="auto"/>
              <w:left w:val="nil"/>
              <w:bottom w:val="single" w:sz="4" w:space="0" w:color="auto"/>
              <w:right w:val="nil"/>
            </w:tcBorders>
            <w:shd w:val="clear" w:color="auto" w:fill="auto"/>
            <w:noWrap/>
            <w:vAlign w:val="center"/>
            <w:hideMark/>
          </w:tcPr>
          <w:p w14:paraId="7A412F8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Fresh Petiole Sap Concentration (ppm)</w:t>
            </w:r>
          </w:p>
        </w:tc>
      </w:tr>
      <w:tr w:rsidR="0081090D" w:rsidRPr="0081090D" w14:paraId="32DE1144" w14:textId="77777777" w:rsidTr="008C106B">
        <w:trPr>
          <w:trHeight w:val="503"/>
          <w:jc w:val="center"/>
        </w:trPr>
        <w:tc>
          <w:tcPr>
            <w:tcW w:w="1124" w:type="dxa"/>
            <w:vMerge/>
            <w:tcBorders>
              <w:top w:val="nil"/>
              <w:left w:val="nil"/>
              <w:bottom w:val="single" w:sz="4" w:space="0" w:color="000000"/>
              <w:right w:val="nil"/>
            </w:tcBorders>
            <w:vAlign w:val="center"/>
            <w:hideMark/>
          </w:tcPr>
          <w:p w14:paraId="1ADE5BBA" w14:textId="77777777" w:rsidR="0081090D" w:rsidRPr="0081090D" w:rsidRDefault="0081090D" w:rsidP="0081090D">
            <w:pPr>
              <w:spacing w:after="0" w:line="240" w:lineRule="auto"/>
              <w:rPr>
                <w:rFonts w:ascii="Cambria" w:eastAsia="Times New Roman" w:hAnsi="Cambria" w:cs="Calibri"/>
                <w:color w:val="000000"/>
              </w:rPr>
            </w:pPr>
          </w:p>
        </w:tc>
        <w:tc>
          <w:tcPr>
            <w:tcW w:w="3556" w:type="dxa"/>
            <w:vMerge/>
            <w:tcBorders>
              <w:top w:val="nil"/>
              <w:left w:val="nil"/>
              <w:bottom w:val="single" w:sz="4" w:space="0" w:color="000000"/>
              <w:right w:val="nil"/>
            </w:tcBorders>
            <w:vAlign w:val="center"/>
            <w:hideMark/>
          </w:tcPr>
          <w:p w14:paraId="5F71A677" w14:textId="77777777" w:rsidR="0081090D" w:rsidRPr="0081090D" w:rsidRDefault="0081090D" w:rsidP="0081090D">
            <w:pPr>
              <w:spacing w:after="0" w:line="240" w:lineRule="auto"/>
              <w:rPr>
                <w:rFonts w:ascii="Cambria" w:eastAsia="Times New Roman" w:hAnsi="Cambria" w:cs="Calibri"/>
                <w:color w:val="000000"/>
              </w:rPr>
            </w:pPr>
          </w:p>
        </w:tc>
        <w:tc>
          <w:tcPr>
            <w:tcW w:w="2354" w:type="dxa"/>
            <w:gridSpan w:val="2"/>
            <w:tcBorders>
              <w:top w:val="single" w:sz="4" w:space="0" w:color="auto"/>
              <w:left w:val="nil"/>
              <w:bottom w:val="single" w:sz="4" w:space="0" w:color="auto"/>
              <w:right w:val="nil"/>
            </w:tcBorders>
            <w:shd w:val="clear" w:color="auto" w:fill="auto"/>
            <w:vAlign w:val="center"/>
            <w:hideMark/>
          </w:tcPr>
          <w:p w14:paraId="260C1067"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NO</w:t>
            </w:r>
            <w:r w:rsidRPr="0081090D">
              <w:rPr>
                <w:rFonts w:ascii="Cambria" w:eastAsia="Times New Roman" w:hAnsi="Cambria" w:cs="Calibri"/>
                <w:color w:val="000000"/>
                <w:vertAlign w:val="subscript"/>
              </w:rPr>
              <w:t>3</w:t>
            </w:r>
            <w:r w:rsidRPr="0081090D">
              <w:rPr>
                <w:rFonts w:ascii="Cambria" w:eastAsia="Times New Roman" w:hAnsi="Cambria" w:cs="Calibri"/>
                <w:color w:val="000000"/>
              </w:rPr>
              <w:t>-N concentration</w:t>
            </w:r>
          </w:p>
        </w:tc>
        <w:tc>
          <w:tcPr>
            <w:tcW w:w="276" w:type="dxa"/>
            <w:tcBorders>
              <w:top w:val="nil"/>
              <w:left w:val="nil"/>
              <w:bottom w:val="nil"/>
              <w:right w:val="nil"/>
            </w:tcBorders>
            <w:shd w:val="clear" w:color="auto" w:fill="auto"/>
            <w:noWrap/>
            <w:vAlign w:val="bottom"/>
            <w:hideMark/>
          </w:tcPr>
          <w:p w14:paraId="37DE0BD8" w14:textId="77777777" w:rsidR="0081090D" w:rsidRPr="0081090D" w:rsidRDefault="0081090D" w:rsidP="0081090D">
            <w:pPr>
              <w:spacing w:after="0" w:line="240" w:lineRule="auto"/>
              <w:jc w:val="center"/>
              <w:rPr>
                <w:rFonts w:ascii="Cambria" w:eastAsia="Times New Roman" w:hAnsi="Cambria" w:cs="Calibri"/>
                <w:color w:val="000000"/>
              </w:rPr>
            </w:pPr>
          </w:p>
        </w:tc>
        <w:tc>
          <w:tcPr>
            <w:tcW w:w="2499" w:type="dxa"/>
            <w:gridSpan w:val="2"/>
            <w:tcBorders>
              <w:top w:val="single" w:sz="4" w:space="0" w:color="auto"/>
              <w:left w:val="nil"/>
              <w:bottom w:val="single" w:sz="4" w:space="0" w:color="auto"/>
              <w:right w:val="nil"/>
            </w:tcBorders>
            <w:shd w:val="clear" w:color="auto" w:fill="auto"/>
            <w:vAlign w:val="center"/>
            <w:hideMark/>
          </w:tcPr>
          <w:p w14:paraId="5C7941CC" w14:textId="77777777" w:rsidR="0081090D" w:rsidRPr="0081090D" w:rsidRDefault="0081090D" w:rsidP="0081090D">
            <w:pPr>
              <w:spacing w:after="0" w:line="274" w:lineRule="atLeast"/>
              <w:jc w:val="center"/>
              <w:rPr>
                <w:rFonts w:ascii="Cambria" w:eastAsia="Times New Roman" w:hAnsi="Cambria" w:cs="Calibri"/>
                <w:color w:val="000000"/>
              </w:rPr>
            </w:pPr>
            <w:r w:rsidRPr="0081090D">
              <w:rPr>
                <w:rFonts w:ascii="Cambria" w:eastAsia="Times New Roman" w:hAnsi="Cambria" w:cs="Calibri"/>
                <w:color w:val="000000"/>
              </w:rPr>
              <w:t>K concentration</w:t>
            </w:r>
          </w:p>
        </w:tc>
      </w:tr>
      <w:tr w:rsidR="0081090D" w:rsidRPr="0081090D" w14:paraId="66EB3861" w14:textId="77777777" w:rsidTr="008C106B">
        <w:trPr>
          <w:trHeight w:val="713"/>
          <w:jc w:val="center"/>
        </w:trPr>
        <w:tc>
          <w:tcPr>
            <w:tcW w:w="1124" w:type="dxa"/>
            <w:vMerge/>
            <w:tcBorders>
              <w:top w:val="nil"/>
              <w:left w:val="nil"/>
              <w:bottom w:val="single" w:sz="4" w:space="0" w:color="000000"/>
              <w:right w:val="nil"/>
            </w:tcBorders>
            <w:vAlign w:val="center"/>
            <w:hideMark/>
          </w:tcPr>
          <w:p w14:paraId="0C493599" w14:textId="77777777" w:rsidR="0081090D" w:rsidRPr="0081090D" w:rsidRDefault="0081090D" w:rsidP="0081090D">
            <w:pPr>
              <w:spacing w:after="0" w:line="240" w:lineRule="auto"/>
              <w:rPr>
                <w:rFonts w:ascii="Cambria" w:eastAsia="Times New Roman" w:hAnsi="Cambria" w:cs="Calibri"/>
                <w:color w:val="000000"/>
              </w:rPr>
            </w:pPr>
          </w:p>
        </w:tc>
        <w:tc>
          <w:tcPr>
            <w:tcW w:w="3556" w:type="dxa"/>
            <w:vMerge/>
            <w:tcBorders>
              <w:top w:val="nil"/>
              <w:left w:val="nil"/>
              <w:bottom w:val="single" w:sz="4" w:space="0" w:color="000000"/>
              <w:right w:val="nil"/>
            </w:tcBorders>
            <w:vAlign w:val="center"/>
            <w:hideMark/>
          </w:tcPr>
          <w:p w14:paraId="6F99E487" w14:textId="77777777" w:rsidR="0081090D" w:rsidRPr="0081090D" w:rsidRDefault="0081090D" w:rsidP="0081090D">
            <w:pPr>
              <w:spacing w:after="0" w:line="240" w:lineRule="auto"/>
              <w:rPr>
                <w:rFonts w:ascii="Cambria" w:eastAsia="Times New Roman" w:hAnsi="Cambria" w:cs="Calibri"/>
                <w:color w:val="000000"/>
              </w:rPr>
            </w:pPr>
          </w:p>
        </w:tc>
        <w:tc>
          <w:tcPr>
            <w:tcW w:w="1364" w:type="dxa"/>
            <w:tcBorders>
              <w:top w:val="nil"/>
              <w:left w:val="nil"/>
              <w:bottom w:val="single" w:sz="4" w:space="0" w:color="auto"/>
              <w:right w:val="nil"/>
            </w:tcBorders>
            <w:shd w:val="clear" w:color="auto" w:fill="auto"/>
            <w:vAlign w:val="center"/>
            <w:hideMark/>
          </w:tcPr>
          <w:p w14:paraId="7DE106DA"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 Fertilizer</w:t>
            </w:r>
          </w:p>
        </w:tc>
        <w:tc>
          <w:tcPr>
            <w:tcW w:w="990" w:type="dxa"/>
            <w:tcBorders>
              <w:top w:val="nil"/>
              <w:left w:val="nil"/>
              <w:bottom w:val="single" w:sz="4" w:space="0" w:color="auto"/>
              <w:right w:val="nil"/>
            </w:tcBorders>
            <w:shd w:val="clear" w:color="auto" w:fill="auto"/>
            <w:noWrap/>
            <w:vAlign w:val="center"/>
            <w:hideMark/>
          </w:tcPr>
          <w:p w14:paraId="3CD0C41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c>
          <w:tcPr>
            <w:tcW w:w="276" w:type="dxa"/>
            <w:tcBorders>
              <w:top w:val="nil"/>
              <w:left w:val="nil"/>
              <w:bottom w:val="single" w:sz="4" w:space="0" w:color="auto"/>
              <w:right w:val="nil"/>
            </w:tcBorders>
            <w:shd w:val="clear" w:color="auto" w:fill="auto"/>
            <w:noWrap/>
            <w:vAlign w:val="bottom"/>
            <w:hideMark/>
          </w:tcPr>
          <w:p w14:paraId="3000948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 </w:t>
            </w:r>
          </w:p>
        </w:tc>
        <w:tc>
          <w:tcPr>
            <w:tcW w:w="1507" w:type="dxa"/>
            <w:tcBorders>
              <w:top w:val="nil"/>
              <w:left w:val="nil"/>
              <w:bottom w:val="single" w:sz="4" w:space="0" w:color="auto"/>
              <w:right w:val="nil"/>
            </w:tcBorders>
            <w:shd w:val="clear" w:color="auto" w:fill="auto"/>
            <w:vAlign w:val="center"/>
            <w:hideMark/>
          </w:tcPr>
          <w:p w14:paraId="214EF2E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Conventional Fertilizer</w:t>
            </w:r>
          </w:p>
        </w:tc>
        <w:tc>
          <w:tcPr>
            <w:tcW w:w="992" w:type="dxa"/>
            <w:tcBorders>
              <w:top w:val="nil"/>
              <w:left w:val="nil"/>
              <w:bottom w:val="single" w:sz="4" w:space="0" w:color="auto"/>
              <w:right w:val="nil"/>
            </w:tcBorders>
            <w:shd w:val="clear" w:color="auto" w:fill="auto"/>
            <w:noWrap/>
            <w:vAlign w:val="center"/>
            <w:hideMark/>
          </w:tcPr>
          <w:p w14:paraId="6CC89AE5"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CRF</w:t>
            </w:r>
          </w:p>
        </w:tc>
      </w:tr>
      <w:tr w:rsidR="0081090D" w:rsidRPr="0081090D" w14:paraId="54A26AA9" w14:textId="77777777" w:rsidTr="008C106B">
        <w:trPr>
          <w:trHeight w:val="304"/>
          <w:jc w:val="center"/>
        </w:trPr>
        <w:tc>
          <w:tcPr>
            <w:tcW w:w="1124" w:type="dxa"/>
            <w:tcBorders>
              <w:top w:val="nil"/>
              <w:left w:val="nil"/>
              <w:bottom w:val="nil"/>
              <w:right w:val="nil"/>
            </w:tcBorders>
            <w:shd w:val="clear" w:color="auto" w:fill="auto"/>
            <w:noWrap/>
            <w:vAlign w:val="center"/>
            <w:hideMark/>
          </w:tcPr>
          <w:p w14:paraId="68DEBE5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12-Apr</w:t>
            </w:r>
          </w:p>
        </w:tc>
        <w:tc>
          <w:tcPr>
            <w:tcW w:w="3556" w:type="dxa"/>
            <w:tcBorders>
              <w:top w:val="nil"/>
              <w:left w:val="nil"/>
              <w:bottom w:val="nil"/>
              <w:right w:val="nil"/>
            </w:tcBorders>
            <w:shd w:val="clear" w:color="auto" w:fill="auto"/>
            <w:noWrap/>
            <w:vAlign w:val="center"/>
            <w:hideMark/>
          </w:tcPr>
          <w:p w14:paraId="443A3A3F" w14:textId="77777777" w:rsidR="0081090D" w:rsidRPr="0081090D" w:rsidRDefault="0081090D" w:rsidP="0081090D">
            <w:pPr>
              <w:spacing w:after="0" w:line="240" w:lineRule="auto"/>
              <w:rPr>
                <w:rFonts w:ascii="Cambria" w:eastAsia="Times New Roman" w:hAnsi="Cambria" w:cs="Calibri"/>
              </w:rPr>
            </w:pPr>
            <w:r w:rsidRPr="0081090D">
              <w:rPr>
                <w:rFonts w:ascii="Cambria" w:eastAsia="Times New Roman" w:hAnsi="Cambria" w:cs="Calibri"/>
              </w:rPr>
              <w:t>Vines 4 to 6-feet in length</w:t>
            </w:r>
          </w:p>
        </w:tc>
        <w:tc>
          <w:tcPr>
            <w:tcW w:w="1364" w:type="dxa"/>
            <w:tcBorders>
              <w:top w:val="nil"/>
              <w:left w:val="nil"/>
              <w:bottom w:val="nil"/>
              <w:right w:val="nil"/>
            </w:tcBorders>
            <w:shd w:val="clear" w:color="auto" w:fill="auto"/>
            <w:noWrap/>
            <w:vAlign w:val="center"/>
            <w:hideMark/>
          </w:tcPr>
          <w:p w14:paraId="08D966C5"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1200</w:t>
            </w:r>
          </w:p>
        </w:tc>
        <w:tc>
          <w:tcPr>
            <w:tcW w:w="990" w:type="dxa"/>
            <w:tcBorders>
              <w:top w:val="nil"/>
              <w:left w:val="nil"/>
              <w:bottom w:val="nil"/>
              <w:right w:val="nil"/>
            </w:tcBorders>
            <w:shd w:val="clear" w:color="auto" w:fill="auto"/>
            <w:noWrap/>
            <w:vAlign w:val="center"/>
            <w:hideMark/>
          </w:tcPr>
          <w:p w14:paraId="17484BEA"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1200</w:t>
            </w:r>
          </w:p>
        </w:tc>
        <w:tc>
          <w:tcPr>
            <w:tcW w:w="276" w:type="dxa"/>
            <w:tcBorders>
              <w:top w:val="nil"/>
              <w:left w:val="nil"/>
              <w:bottom w:val="nil"/>
              <w:right w:val="nil"/>
            </w:tcBorders>
            <w:shd w:val="clear" w:color="auto" w:fill="auto"/>
            <w:noWrap/>
            <w:vAlign w:val="bottom"/>
            <w:hideMark/>
          </w:tcPr>
          <w:p w14:paraId="4B951A43" w14:textId="77777777" w:rsidR="0081090D" w:rsidRPr="0081090D" w:rsidRDefault="0081090D" w:rsidP="0081090D">
            <w:pPr>
              <w:spacing w:after="0" w:line="240" w:lineRule="auto"/>
              <w:jc w:val="center"/>
              <w:rPr>
                <w:rFonts w:ascii="Cambria" w:eastAsia="Times New Roman" w:hAnsi="Cambria" w:cs="Calibri"/>
              </w:rPr>
            </w:pPr>
          </w:p>
        </w:tc>
        <w:tc>
          <w:tcPr>
            <w:tcW w:w="1507" w:type="dxa"/>
            <w:tcBorders>
              <w:top w:val="nil"/>
              <w:left w:val="nil"/>
              <w:bottom w:val="nil"/>
              <w:right w:val="nil"/>
            </w:tcBorders>
            <w:shd w:val="clear" w:color="auto" w:fill="auto"/>
            <w:noWrap/>
            <w:vAlign w:val="center"/>
            <w:hideMark/>
          </w:tcPr>
          <w:p w14:paraId="321D5668"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4800</w:t>
            </w:r>
          </w:p>
        </w:tc>
        <w:tc>
          <w:tcPr>
            <w:tcW w:w="992" w:type="dxa"/>
            <w:tcBorders>
              <w:top w:val="nil"/>
              <w:left w:val="nil"/>
              <w:bottom w:val="nil"/>
              <w:right w:val="nil"/>
            </w:tcBorders>
            <w:shd w:val="clear" w:color="auto" w:fill="auto"/>
            <w:noWrap/>
            <w:vAlign w:val="center"/>
            <w:hideMark/>
          </w:tcPr>
          <w:p w14:paraId="2A8893FF"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4500</w:t>
            </w:r>
          </w:p>
        </w:tc>
      </w:tr>
      <w:tr w:rsidR="0081090D" w:rsidRPr="0081090D" w14:paraId="572FDE89" w14:textId="77777777" w:rsidTr="008C106B">
        <w:trPr>
          <w:trHeight w:val="304"/>
          <w:jc w:val="center"/>
        </w:trPr>
        <w:tc>
          <w:tcPr>
            <w:tcW w:w="1124" w:type="dxa"/>
            <w:tcBorders>
              <w:top w:val="nil"/>
              <w:left w:val="nil"/>
              <w:bottom w:val="nil"/>
              <w:right w:val="nil"/>
            </w:tcBorders>
            <w:shd w:val="clear" w:color="000000" w:fill="BFBFBF"/>
            <w:noWrap/>
            <w:vAlign w:val="center"/>
            <w:hideMark/>
          </w:tcPr>
          <w:p w14:paraId="75E2CB1B"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26-Apr</w:t>
            </w:r>
          </w:p>
        </w:tc>
        <w:tc>
          <w:tcPr>
            <w:tcW w:w="3556" w:type="dxa"/>
            <w:tcBorders>
              <w:top w:val="nil"/>
              <w:left w:val="nil"/>
              <w:bottom w:val="nil"/>
              <w:right w:val="nil"/>
            </w:tcBorders>
            <w:shd w:val="clear" w:color="000000" w:fill="BFBFBF"/>
            <w:noWrap/>
            <w:vAlign w:val="center"/>
            <w:hideMark/>
          </w:tcPr>
          <w:p w14:paraId="1896B25D" w14:textId="77777777" w:rsidR="0081090D" w:rsidRPr="0081090D" w:rsidRDefault="0081090D" w:rsidP="0081090D">
            <w:pPr>
              <w:spacing w:after="0" w:line="240" w:lineRule="auto"/>
              <w:rPr>
                <w:rFonts w:ascii="Cambria" w:eastAsia="Times New Roman" w:hAnsi="Cambria" w:cs="Calibri"/>
              </w:rPr>
            </w:pPr>
            <w:r w:rsidRPr="0081090D">
              <w:rPr>
                <w:rFonts w:ascii="Cambria" w:eastAsia="Times New Roman" w:hAnsi="Cambria" w:cs="Calibri"/>
              </w:rPr>
              <w:t>Full vine cover</w:t>
            </w:r>
          </w:p>
        </w:tc>
        <w:tc>
          <w:tcPr>
            <w:tcW w:w="1364" w:type="dxa"/>
            <w:tcBorders>
              <w:top w:val="nil"/>
              <w:left w:val="nil"/>
              <w:bottom w:val="nil"/>
              <w:right w:val="nil"/>
            </w:tcBorders>
            <w:shd w:val="clear" w:color="000000" w:fill="BFBFBF"/>
            <w:noWrap/>
            <w:vAlign w:val="center"/>
            <w:hideMark/>
          </w:tcPr>
          <w:p w14:paraId="68454E75"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700</w:t>
            </w:r>
          </w:p>
        </w:tc>
        <w:tc>
          <w:tcPr>
            <w:tcW w:w="990" w:type="dxa"/>
            <w:tcBorders>
              <w:top w:val="nil"/>
              <w:left w:val="nil"/>
              <w:bottom w:val="nil"/>
              <w:right w:val="nil"/>
            </w:tcBorders>
            <w:shd w:val="clear" w:color="000000" w:fill="BFBFBF"/>
            <w:noWrap/>
            <w:vAlign w:val="center"/>
            <w:hideMark/>
          </w:tcPr>
          <w:p w14:paraId="45DFD2F1"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1000</w:t>
            </w:r>
          </w:p>
        </w:tc>
        <w:tc>
          <w:tcPr>
            <w:tcW w:w="276" w:type="dxa"/>
            <w:tcBorders>
              <w:top w:val="nil"/>
              <w:left w:val="nil"/>
              <w:bottom w:val="nil"/>
              <w:right w:val="nil"/>
            </w:tcBorders>
            <w:shd w:val="clear" w:color="000000" w:fill="BFBFBF"/>
            <w:noWrap/>
            <w:vAlign w:val="bottom"/>
            <w:hideMark/>
          </w:tcPr>
          <w:p w14:paraId="36AC4BBB"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 </w:t>
            </w:r>
          </w:p>
        </w:tc>
        <w:tc>
          <w:tcPr>
            <w:tcW w:w="1507" w:type="dxa"/>
            <w:tcBorders>
              <w:top w:val="nil"/>
              <w:left w:val="nil"/>
              <w:bottom w:val="nil"/>
              <w:right w:val="nil"/>
            </w:tcBorders>
            <w:shd w:val="clear" w:color="000000" w:fill="BFBFBF"/>
            <w:noWrap/>
            <w:vAlign w:val="center"/>
            <w:hideMark/>
          </w:tcPr>
          <w:p w14:paraId="0AE21928"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4700</w:t>
            </w:r>
          </w:p>
        </w:tc>
        <w:tc>
          <w:tcPr>
            <w:tcW w:w="992" w:type="dxa"/>
            <w:tcBorders>
              <w:top w:val="nil"/>
              <w:left w:val="nil"/>
              <w:bottom w:val="nil"/>
              <w:right w:val="nil"/>
            </w:tcBorders>
            <w:shd w:val="clear" w:color="000000" w:fill="BFBFBF"/>
            <w:noWrap/>
            <w:vAlign w:val="center"/>
            <w:hideMark/>
          </w:tcPr>
          <w:p w14:paraId="1EEBCD4E"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4800</w:t>
            </w:r>
          </w:p>
        </w:tc>
      </w:tr>
      <w:tr w:rsidR="0081090D" w:rsidRPr="0081090D" w14:paraId="50B568FE" w14:textId="77777777" w:rsidTr="008C106B">
        <w:trPr>
          <w:trHeight w:val="304"/>
          <w:jc w:val="center"/>
        </w:trPr>
        <w:tc>
          <w:tcPr>
            <w:tcW w:w="1124" w:type="dxa"/>
            <w:tcBorders>
              <w:top w:val="nil"/>
              <w:left w:val="nil"/>
              <w:bottom w:val="nil"/>
              <w:right w:val="nil"/>
            </w:tcBorders>
            <w:shd w:val="clear" w:color="auto" w:fill="auto"/>
            <w:noWrap/>
            <w:vAlign w:val="center"/>
            <w:hideMark/>
          </w:tcPr>
          <w:p w14:paraId="62790642"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10-May</w:t>
            </w:r>
          </w:p>
        </w:tc>
        <w:tc>
          <w:tcPr>
            <w:tcW w:w="3556" w:type="dxa"/>
            <w:tcBorders>
              <w:top w:val="nil"/>
              <w:left w:val="nil"/>
              <w:bottom w:val="nil"/>
              <w:right w:val="nil"/>
            </w:tcBorders>
            <w:shd w:val="clear" w:color="auto" w:fill="auto"/>
            <w:noWrap/>
            <w:vAlign w:val="center"/>
            <w:hideMark/>
          </w:tcPr>
          <w:p w14:paraId="57F1FFAC" w14:textId="77777777" w:rsidR="0081090D" w:rsidRPr="0081090D" w:rsidRDefault="0081090D" w:rsidP="0081090D">
            <w:pPr>
              <w:spacing w:after="0" w:line="240" w:lineRule="auto"/>
              <w:rPr>
                <w:rFonts w:ascii="Cambria" w:eastAsia="Times New Roman" w:hAnsi="Cambria" w:cs="Calibri"/>
              </w:rPr>
            </w:pPr>
            <w:r w:rsidRPr="0081090D">
              <w:rPr>
                <w:rFonts w:ascii="Cambria" w:eastAsia="Times New Roman" w:hAnsi="Cambria" w:cs="Calibri"/>
              </w:rPr>
              <w:t>2-3 weeks to first harvest</w:t>
            </w:r>
          </w:p>
        </w:tc>
        <w:tc>
          <w:tcPr>
            <w:tcW w:w="1364" w:type="dxa"/>
            <w:tcBorders>
              <w:top w:val="nil"/>
              <w:left w:val="nil"/>
              <w:bottom w:val="nil"/>
              <w:right w:val="nil"/>
            </w:tcBorders>
            <w:shd w:val="clear" w:color="auto" w:fill="auto"/>
            <w:noWrap/>
            <w:vAlign w:val="center"/>
            <w:hideMark/>
          </w:tcPr>
          <w:p w14:paraId="79EA4053"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390</w:t>
            </w:r>
          </w:p>
        </w:tc>
        <w:tc>
          <w:tcPr>
            <w:tcW w:w="990" w:type="dxa"/>
            <w:tcBorders>
              <w:top w:val="nil"/>
              <w:left w:val="nil"/>
              <w:bottom w:val="nil"/>
              <w:right w:val="nil"/>
            </w:tcBorders>
            <w:shd w:val="clear" w:color="auto" w:fill="auto"/>
            <w:noWrap/>
            <w:vAlign w:val="center"/>
            <w:hideMark/>
          </w:tcPr>
          <w:p w14:paraId="2AB29E00"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300</w:t>
            </w:r>
          </w:p>
        </w:tc>
        <w:tc>
          <w:tcPr>
            <w:tcW w:w="276" w:type="dxa"/>
            <w:tcBorders>
              <w:top w:val="nil"/>
              <w:left w:val="nil"/>
              <w:bottom w:val="nil"/>
              <w:right w:val="nil"/>
            </w:tcBorders>
            <w:shd w:val="clear" w:color="auto" w:fill="auto"/>
            <w:noWrap/>
            <w:vAlign w:val="bottom"/>
            <w:hideMark/>
          </w:tcPr>
          <w:p w14:paraId="21642491" w14:textId="77777777" w:rsidR="0081090D" w:rsidRPr="0081090D" w:rsidRDefault="0081090D" w:rsidP="0081090D">
            <w:pPr>
              <w:spacing w:after="0" w:line="240" w:lineRule="auto"/>
              <w:jc w:val="center"/>
              <w:rPr>
                <w:rFonts w:ascii="Cambria" w:eastAsia="Times New Roman" w:hAnsi="Cambria" w:cs="Calibri"/>
              </w:rPr>
            </w:pPr>
          </w:p>
        </w:tc>
        <w:tc>
          <w:tcPr>
            <w:tcW w:w="1507" w:type="dxa"/>
            <w:tcBorders>
              <w:top w:val="nil"/>
              <w:left w:val="nil"/>
              <w:bottom w:val="nil"/>
              <w:right w:val="nil"/>
            </w:tcBorders>
            <w:shd w:val="clear" w:color="auto" w:fill="auto"/>
            <w:noWrap/>
            <w:vAlign w:val="center"/>
            <w:hideMark/>
          </w:tcPr>
          <w:p w14:paraId="19DB9BDB"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3800</w:t>
            </w:r>
          </w:p>
        </w:tc>
        <w:tc>
          <w:tcPr>
            <w:tcW w:w="992" w:type="dxa"/>
            <w:tcBorders>
              <w:top w:val="nil"/>
              <w:left w:val="nil"/>
              <w:bottom w:val="nil"/>
              <w:right w:val="nil"/>
            </w:tcBorders>
            <w:shd w:val="clear" w:color="auto" w:fill="auto"/>
            <w:noWrap/>
            <w:vAlign w:val="center"/>
            <w:hideMark/>
          </w:tcPr>
          <w:p w14:paraId="18F6D77C"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3500</w:t>
            </w:r>
          </w:p>
        </w:tc>
      </w:tr>
      <w:tr w:rsidR="0081090D" w:rsidRPr="0081090D" w14:paraId="08CBCA76" w14:textId="77777777" w:rsidTr="008C106B">
        <w:trPr>
          <w:trHeight w:val="304"/>
          <w:jc w:val="center"/>
        </w:trPr>
        <w:tc>
          <w:tcPr>
            <w:tcW w:w="1124" w:type="dxa"/>
            <w:tcBorders>
              <w:top w:val="nil"/>
              <w:left w:val="nil"/>
              <w:bottom w:val="nil"/>
              <w:right w:val="nil"/>
            </w:tcBorders>
            <w:shd w:val="clear" w:color="000000" w:fill="BFBFBF"/>
            <w:noWrap/>
            <w:vAlign w:val="center"/>
            <w:hideMark/>
          </w:tcPr>
          <w:p w14:paraId="5A89B3E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22-May</w:t>
            </w:r>
          </w:p>
        </w:tc>
        <w:tc>
          <w:tcPr>
            <w:tcW w:w="3556" w:type="dxa"/>
            <w:tcBorders>
              <w:top w:val="nil"/>
              <w:left w:val="nil"/>
              <w:bottom w:val="nil"/>
              <w:right w:val="nil"/>
            </w:tcBorders>
            <w:shd w:val="clear" w:color="000000" w:fill="BFBFBF"/>
            <w:noWrap/>
            <w:vAlign w:val="center"/>
            <w:hideMark/>
          </w:tcPr>
          <w:p w14:paraId="6FC7D11A" w14:textId="77777777" w:rsidR="0081090D" w:rsidRPr="0081090D" w:rsidRDefault="0081090D" w:rsidP="0081090D">
            <w:pPr>
              <w:spacing w:after="0" w:line="240" w:lineRule="auto"/>
              <w:rPr>
                <w:rFonts w:ascii="Cambria" w:eastAsia="Times New Roman" w:hAnsi="Cambria" w:cs="Calibri"/>
              </w:rPr>
            </w:pPr>
            <w:r w:rsidRPr="0081090D">
              <w:rPr>
                <w:rFonts w:ascii="Cambria" w:eastAsia="Times New Roman" w:hAnsi="Cambria" w:cs="Calibri"/>
              </w:rPr>
              <w:t>1 week to first harvest</w:t>
            </w:r>
          </w:p>
        </w:tc>
        <w:tc>
          <w:tcPr>
            <w:tcW w:w="1364" w:type="dxa"/>
            <w:tcBorders>
              <w:top w:val="nil"/>
              <w:left w:val="nil"/>
              <w:bottom w:val="nil"/>
              <w:right w:val="nil"/>
            </w:tcBorders>
            <w:shd w:val="clear" w:color="000000" w:fill="BFBFBF"/>
            <w:noWrap/>
            <w:vAlign w:val="center"/>
            <w:hideMark/>
          </w:tcPr>
          <w:p w14:paraId="5FADBC05"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850</w:t>
            </w:r>
          </w:p>
        </w:tc>
        <w:tc>
          <w:tcPr>
            <w:tcW w:w="990" w:type="dxa"/>
            <w:tcBorders>
              <w:top w:val="nil"/>
              <w:left w:val="nil"/>
              <w:bottom w:val="nil"/>
              <w:right w:val="nil"/>
            </w:tcBorders>
            <w:shd w:val="clear" w:color="000000" w:fill="BFBFBF"/>
            <w:noWrap/>
            <w:vAlign w:val="center"/>
            <w:hideMark/>
          </w:tcPr>
          <w:p w14:paraId="2712E31C"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1000</w:t>
            </w:r>
          </w:p>
        </w:tc>
        <w:tc>
          <w:tcPr>
            <w:tcW w:w="276" w:type="dxa"/>
            <w:tcBorders>
              <w:top w:val="nil"/>
              <w:left w:val="nil"/>
              <w:bottom w:val="nil"/>
              <w:right w:val="nil"/>
            </w:tcBorders>
            <w:shd w:val="clear" w:color="000000" w:fill="BFBFBF"/>
            <w:noWrap/>
            <w:vAlign w:val="bottom"/>
            <w:hideMark/>
          </w:tcPr>
          <w:p w14:paraId="1A9F741A"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 </w:t>
            </w:r>
          </w:p>
        </w:tc>
        <w:tc>
          <w:tcPr>
            <w:tcW w:w="1507" w:type="dxa"/>
            <w:tcBorders>
              <w:top w:val="nil"/>
              <w:left w:val="nil"/>
              <w:bottom w:val="nil"/>
              <w:right w:val="nil"/>
            </w:tcBorders>
            <w:shd w:val="clear" w:color="000000" w:fill="BFBFBF"/>
            <w:noWrap/>
            <w:vAlign w:val="center"/>
            <w:hideMark/>
          </w:tcPr>
          <w:p w14:paraId="7235D57F"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4600</w:t>
            </w:r>
          </w:p>
        </w:tc>
        <w:tc>
          <w:tcPr>
            <w:tcW w:w="992" w:type="dxa"/>
            <w:tcBorders>
              <w:top w:val="nil"/>
              <w:left w:val="nil"/>
              <w:bottom w:val="nil"/>
              <w:right w:val="nil"/>
            </w:tcBorders>
            <w:shd w:val="clear" w:color="000000" w:fill="BFBFBF"/>
            <w:noWrap/>
            <w:vAlign w:val="center"/>
            <w:hideMark/>
          </w:tcPr>
          <w:p w14:paraId="164C50FD"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3900</w:t>
            </w:r>
          </w:p>
        </w:tc>
      </w:tr>
      <w:tr w:rsidR="0081090D" w:rsidRPr="0081090D" w14:paraId="5E327506" w14:textId="77777777" w:rsidTr="008C106B">
        <w:trPr>
          <w:trHeight w:val="304"/>
          <w:jc w:val="center"/>
        </w:trPr>
        <w:tc>
          <w:tcPr>
            <w:tcW w:w="1124" w:type="dxa"/>
            <w:tcBorders>
              <w:top w:val="nil"/>
              <w:left w:val="nil"/>
              <w:bottom w:val="single" w:sz="4" w:space="0" w:color="auto"/>
              <w:right w:val="nil"/>
            </w:tcBorders>
            <w:shd w:val="clear" w:color="auto" w:fill="auto"/>
            <w:noWrap/>
            <w:vAlign w:val="center"/>
            <w:hideMark/>
          </w:tcPr>
          <w:p w14:paraId="0D22CE7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4-Jun</w:t>
            </w:r>
          </w:p>
        </w:tc>
        <w:tc>
          <w:tcPr>
            <w:tcW w:w="3556" w:type="dxa"/>
            <w:tcBorders>
              <w:top w:val="nil"/>
              <w:left w:val="nil"/>
              <w:bottom w:val="single" w:sz="4" w:space="0" w:color="auto"/>
              <w:right w:val="nil"/>
            </w:tcBorders>
            <w:shd w:val="clear" w:color="auto" w:fill="auto"/>
            <w:noWrap/>
            <w:vAlign w:val="center"/>
            <w:hideMark/>
          </w:tcPr>
          <w:p w14:paraId="0B57442F" w14:textId="77777777" w:rsidR="0081090D" w:rsidRPr="0081090D" w:rsidRDefault="0081090D" w:rsidP="0081090D">
            <w:pPr>
              <w:spacing w:after="0" w:line="240" w:lineRule="auto"/>
              <w:rPr>
                <w:rFonts w:ascii="Cambria" w:eastAsia="Times New Roman" w:hAnsi="Cambria" w:cs="Calibri"/>
              </w:rPr>
            </w:pPr>
            <w:r w:rsidRPr="0081090D">
              <w:rPr>
                <w:rFonts w:ascii="Cambria" w:eastAsia="Times New Roman" w:hAnsi="Cambria" w:cs="Calibri"/>
              </w:rPr>
              <w:t>Between second and third harvest</w:t>
            </w:r>
          </w:p>
        </w:tc>
        <w:tc>
          <w:tcPr>
            <w:tcW w:w="1364" w:type="dxa"/>
            <w:tcBorders>
              <w:top w:val="nil"/>
              <w:left w:val="nil"/>
              <w:bottom w:val="single" w:sz="4" w:space="0" w:color="auto"/>
              <w:right w:val="nil"/>
            </w:tcBorders>
            <w:shd w:val="clear" w:color="auto" w:fill="auto"/>
            <w:noWrap/>
            <w:vAlign w:val="center"/>
            <w:hideMark/>
          </w:tcPr>
          <w:p w14:paraId="2DDF8535"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440</w:t>
            </w:r>
          </w:p>
        </w:tc>
        <w:tc>
          <w:tcPr>
            <w:tcW w:w="990" w:type="dxa"/>
            <w:tcBorders>
              <w:top w:val="nil"/>
              <w:left w:val="nil"/>
              <w:bottom w:val="single" w:sz="4" w:space="0" w:color="auto"/>
              <w:right w:val="nil"/>
            </w:tcBorders>
            <w:shd w:val="clear" w:color="auto" w:fill="auto"/>
            <w:noWrap/>
            <w:vAlign w:val="center"/>
            <w:hideMark/>
          </w:tcPr>
          <w:p w14:paraId="73061CB1"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800</w:t>
            </w:r>
          </w:p>
        </w:tc>
        <w:tc>
          <w:tcPr>
            <w:tcW w:w="276" w:type="dxa"/>
            <w:tcBorders>
              <w:top w:val="nil"/>
              <w:left w:val="nil"/>
              <w:bottom w:val="single" w:sz="4" w:space="0" w:color="auto"/>
              <w:right w:val="nil"/>
            </w:tcBorders>
            <w:shd w:val="clear" w:color="auto" w:fill="auto"/>
            <w:noWrap/>
            <w:vAlign w:val="bottom"/>
            <w:hideMark/>
          </w:tcPr>
          <w:p w14:paraId="4C87955B"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 </w:t>
            </w:r>
          </w:p>
        </w:tc>
        <w:tc>
          <w:tcPr>
            <w:tcW w:w="1507" w:type="dxa"/>
            <w:tcBorders>
              <w:top w:val="nil"/>
              <w:left w:val="nil"/>
              <w:bottom w:val="single" w:sz="4" w:space="0" w:color="auto"/>
              <w:right w:val="nil"/>
            </w:tcBorders>
            <w:shd w:val="clear" w:color="auto" w:fill="auto"/>
            <w:noWrap/>
            <w:vAlign w:val="center"/>
            <w:hideMark/>
          </w:tcPr>
          <w:p w14:paraId="0879A2FF"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4400</w:t>
            </w:r>
          </w:p>
        </w:tc>
        <w:tc>
          <w:tcPr>
            <w:tcW w:w="992" w:type="dxa"/>
            <w:tcBorders>
              <w:top w:val="nil"/>
              <w:left w:val="nil"/>
              <w:bottom w:val="single" w:sz="4" w:space="0" w:color="auto"/>
              <w:right w:val="nil"/>
            </w:tcBorders>
            <w:shd w:val="clear" w:color="auto" w:fill="auto"/>
            <w:noWrap/>
            <w:vAlign w:val="center"/>
            <w:hideMark/>
          </w:tcPr>
          <w:p w14:paraId="3D6EC96F" w14:textId="77777777" w:rsidR="0081090D" w:rsidRPr="0081090D" w:rsidRDefault="0081090D" w:rsidP="0081090D">
            <w:pPr>
              <w:spacing w:after="0" w:line="240" w:lineRule="auto"/>
              <w:jc w:val="center"/>
              <w:rPr>
                <w:rFonts w:ascii="Cambria" w:eastAsia="Times New Roman" w:hAnsi="Cambria" w:cs="Calibri"/>
              </w:rPr>
            </w:pPr>
            <w:r w:rsidRPr="0081090D">
              <w:rPr>
                <w:rFonts w:ascii="Cambria" w:eastAsia="Times New Roman" w:hAnsi="Cambria" w:cs="Calibri"/>
              </w:rPr>
              <w:t>3900</w:t>
            </w:r>
          </w:p>
        </w:tc>
      </w:tr>
      <w:tr w:rsidR="0081090D" w:rsidRPr="0081090D" w14:paraId="6C28039A" w14:textId="77777777" w:rsidTr="008C106B">
        <w:trPr>
          <w:trHeight w:val="304"/>
          <w:jc w:val="center"/>
        </w:trPr>
        <w:tc>
          <w:tcPr>
            <w:tcW w:w="1124" w:type="dxa"/>
            <w:tcBorders>
              <w:top w:val="nil"/>
              <w:left w:val="nil"/>
              <w:bottom w:val="nil"/>
              <w:right w:val="nil"/>
            </w:tcBorders>
            <w:shd w:val="clear" w:color="auto" w:fill="auto"/>
            <w:noWrap/>
            <w:vAlign w:val="bottom"/>
            <w:hideMark/>
          </w:tcPr>
          <w:p w14:paraId="50C04EE1" w14:textId="77777777" w:rsidR="0081090D" w:rsidRPr="0081090D" w:rsidRDefault="0081090D" w:rsidP="0081090D">
            <w:pPr>
              <w:spacing w:after="0" w:line="240" w:lineRule="auto"/>
              <w:jc w:val="center"/>
              <w:rPr>
                <w:rFonts w:ascii="Cambria" w:eastAsia="Times New Roman" w:hAnsi="Cambria" w:cs="Calibri"/>
              </w:rPr>
            </w:pPr>
          </w:p>
        </w:tc>
        <w:tc>
          <w:tcPr>
            <w:tcW w:w="3556" w:type="dxa"/>
            <w:tcBorders>
              <w:top w:val="nil"/>
              <w:left w:val="nil"/>
              <w:bottom w:val="nil"/>
              <w:right w:val="nil"/>
            </w:tcBorders>
            <w:shd w:val="clear" w:color="auto" w:fill="auto"/>
            <w:noWrap/>
            <w:vAlign w:val="bottom"/>
            <w:hideMark/>
          </w:tcPr>
          <w:p w14:paraId="7C9EF68F"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14:paraId="7965D092"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51FF5E5C"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276" w:type="dxa"/>
            <w:tcBorders>
              <w:top w:val="nil"/>
              <w:left w:val="nil"/>
              <w:bottom w:val="nil"/>
              <w:right w:val="nil"/>
            </w:tcBorders>
            <w:shd w:val="clear" w:color="auto" w:fill="auto"/>
            <w:noWrap/>
            <w:vAlign w:val="bottom"/>
            <w:hideMark/>
          </w:tcPr>
          <w:p w14:paraId="4CD3C9DC"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shd w:val="clear" w:color="auto" w:fill="auto"/>
            <w:noWrap/>
            <w:vAlign w:val="bottom"/>
            <w:hideMark/>
          </w:tcPr>
          <w:p w14:paraId="73F3DFF9"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6DE4589A" w14:textId="77777777" w:rsidR="0081090D" w:rsidRPr="0081090D" w:rsidRDefault="0081090D" w:rsidP="0081090D">
            <w:pPr>
              <w:spacing w:after="0" w:line="240" w:lineRule="auto"/>
              <w:rPr>
                <w:rFonts w:ascii="Times New Roman" w:eastAsia="Times New Roman" w:hAnsi="Times New Roman" w:cs="Times New Roman"/>
                <w:sz w:val="20"/>
                <w:szCs w:val="20"/>
              </w:rPr>
            </w:pPr>
          </w:p>
        </w:tc>
      </w:tr>
    </w:tbl>
    <w:p w14:paraId="561F2E4B" w14:textId="77777777" w:rsidR="0081090D" w:rsidRPr="0081090D" w:rsidRDefault="0081090D" w:rsidP="0081090D">
      <w:pPr>
        <w:spacing w:after="200" w:line="276" w:lineRule="auto"/>
        <w:jc w:val="center"/>
        <w:rPr>
          <w:rFonts w:ascii="Cambria" w:eastAsia="Times New Roman" w:hAnsi="Cambria" w:cs="Times New Roman"/>
          <w:sz w:val="24"/>
          <w:szCs w:val="24"/>
        </w:rPr>
      </w:pPr>
    </w:p>
    <w:p w14:paraId="053FDD20" w14:textId="77777777" w:rsidR="0081090D" w:rsidRPr="0081090D" w:rsidRDefault="0081090D" w:rsidP="0081090D">
      <w:pPr>
        <w:spacing w:after="200" w:line="276" w:lineRule="auto"/>
        <w:jc w:val="center"/>
        <w:rPr>
          <w:rFonts w:ascii="Cambria" w:eastAsia="Times New Roman" w:hAnsi="Cambria" w:cs="Times New Roman"/>
          <w:sz w:val="24"/>
          <w:szCs w:val="24"/>
        </w:rPr>
      </w:pPr>
    </w:p>
    <w:p w14:paraId="7E12BAFC" w14:textId="77777777" w:rsidR="0081090D" w:rsidRPr="0081090D" w:rsidRDefault="0081090D" w:rsidP="0081090D">
      <w:pPr>
        <w:spacing w:after="200" w:line="276" w:lineRule="auto"/>
        <w:rPr>
          <w:rFonts w:ascii="Cambria" w:eastAsia="Times New Roman" w:hAnsi="Cambria" w:cs="Times New Roman"/>
          <w:sz w:val="24"/>
          <w:szCs w:val="24"/>
        </w:rPr>
      </w:pPr>
      <w:r w:rsidRPr="0081090D">
        <w:rPr>
          <w:rFonts w:ascii="Cambria" w:eastAsia="Times New Roman" w:hAnsi="Cambria" w:cs="Times New Roman"/>
          <w:sz w:val="24"/>
          <w:szCs w:val="24"/>
        </w:rPr>
        <w:t>Table 4. Adequate levels of fresh petiole sap concentration of nitrate-N and potassium at various growth stages of seedless watermelon.</w:t>
      </w:r>
    </w:p>
    <w:p w14:paraId="2F9C55C0" w14:textId="77777777" w:rsidR="0081090D" w:rsidRPr="0081090D" w:rsidRDefault="0081090D" w:rsidP="0081090D">
      <w:pPr>
        <w:spacing w:after="200" w:line="276" w:lineRule="auto"/>
        <w:rPr>
          <w:rFonts w:ascii="Cambria" w:eastAsia="Times New Roman" w:hAnsi="Cambria" w:cs="Times New Roman"/>
          <w:sz w:val="24"/>
          <w:szCs w:val="24"/>
        </w:rPr>
      </w:pPr>
    </w:p>
    <w:tbl>
      <w:tblPr>
        <w:tblW w:w="9360" w:type="dxa"/>
        <w:tblLook w:val="04A0" w:firstRow="1" w:lastRow="0" w:firstColumn="1" w:lastColumn="0" w:noHBand="0" w:noVBand="1"/>
      </w:tblPr>
      <w:tblGrid>
        <w:gridCol w:w="1647"/>
        <w:gridCol w:w="4293"/>
        <w:gridCol w:w="1731"/>
        <w:gridCol w:w="1689"/>
      </w:tblGrid>
      <w:tr w:rsidR="0081090D" w:rsidRPr="0081090D" w14:paraId="4F312F20" w14:textId="77777777" w:rsidTr="008C106B">
        <w:trPr>
          <w:trHeight w:val="290"/>
        </w:trPr>
        <w:tc>
          <w:tcPr>
            <w:tcW w:w="1647" w:type="dxa"/>
            <w:vMerge w:val="restart"/>
            <w:tcBorders>
              <w:top w:val="single" w:sz="4" w:space="0" w:color="auto"/>
              <w:left w:val="nil"/>
              <w:bottom w:val="single" w:sz="4" w:space="0" w:color="000000"/>
              <w:right w:val="nil"/>
            </w:tcBorders>
            <w:shd w:val="clear" w:color="auto" w:fill="auto"/>
            <w:noWrap/>
            <w:vAlign w:val="center"/>
            <w:hideMark/>
          </w:tcPr>
          <w:p w14:paraId="1B92788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Crop</w:t>
            </w:r>
          </w:p>
        </w:tc>
        <w:tc>
          <w:tcPr>
            <w:tcW w:w="4293" w:type="dxa"/>
            <w:vMerge w:val="restart"/>
            <w:tcBorders>
              <w:top w:val="single" w:sz="4" w:space="0" w:color="auto"/>
              <w:left w:val="nil"/>
              <w:bottom w:val="single" w:sz="4" w:space="0" w:color="000000"/>
              <w:right w:val="nil"/>
            </w:tcBorders>
            <w:shd w:val="clear" w:color="auto" w:fill="auto"/>
            <w:noWrap/>
            <w:vAlign w:val="center"/>
            <w:hideMark/>
          </w:tcPr>
          <w:p w14:paraId="5D25807E" w14:textId="77777777" w:rsidR="0081090D" w:rsidRPr="0081090D" w:rsidRDefault="0081090D" w:rsidP="0081090D">
            <w:pPr>
              <w:spacing w:after="0" w:line="274" w:lineRule="atLeast"/>
              <w:jc w:val="center"/>
              <w:rPr>
                <w:rFonts w:ascii="Cambria" w:eastAsia="Times New Roman" w:hAnsi="Cambria" w:cs="Calibri"/>
                <w:color w:val="000000"/>
              </w:rPr>
            </w:pPr>
            <w:r w:rsidRPr="0081090D">
              <w:rPr>
                <w:rFonts w:ascii="Cambria" w:eastAsia="Times New Roman" w:hAnsi="Cambria" w:cs="Calibri"/>
                <w:color w:val="000000"/>
              </w:rPr>
              <w:t>Stage of Growth</w:t>
            </w:r>
          </w:p>
        </w:tc>
        <w:tc>
          <w:tcPr>
            <w:tcW w:w="3420" w:type="dxa"/>
            <w:gridSpan w:val="2"/>
            <w:tcBorders>
              <w:top w:val="single" w:sz="4" w:space="0" w:color="auto"/>
              <w:left w:val="nil"/>
              <w:bottom w:val="single" w:sz="4" w:space="0" w:color="auto"/>
              <w:right w:val="nil"/>
            </w:tcBorders>
            <w:shd w:val="clear" w:color="auto" w:fill="auto"/>
            <w:noWrap/>
            <w:vAlign w:val="center"/>
            <w:hideMark/>
          </w:tcPr>
          <w:p w14:paraId="02BF523F"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 xml:space="preserve">Fresh Petiole Sap </w:t>
            </w:r>
          </w:p>
          <w:p w14:paraId="00C2E0A8"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Concentration (ppm)</w:t>
            </w:r>
          </w:p>
        </w:tc>
      </w:tr>
      <w:tr w:rsidR="0081090D" w:rsidRPr="0081090D" w14:paraId="28417DD3" w14:textId="77777777" w:rsidTr="008C106B">
        <w:trPr>
          <w:trHeight w:val="320"/>
        </w:trPr>
        <w:tc>
          <w:tcPr>
            <w:tcW w:w="1647" w:type="dxa"/>
            <w:vMerge/>
            <w:tcBorders>
              <w:top w:val="single" w:sz="4" w:space="0" w:color="auto"/>
              <w:left w:val="nil"/>
              <w:bottom w:val="single" w:sz="4" w:space="0" w:color="000000"/>
              <w:right w:val="nil"/>
            </w:tcBorders>
            <w:vAlign w:val="center"/>
            <w:hideMark/>
          </w:tcPr>
          <w:p w14:paraId="2CE9C1E7" w14:textId="77777777" w:rsidR="0081090D" w:rsidRPr="0081090D" w:rsidRDefault="0081090D" w:rsidP="0081090D">
            <w:pPr>
              <w:spacing w:after="0" w:line="240" w:lineRule="auto"/>
              <w:rPr>
                <w:rFonts w:ascii="Cambria" w:eastAsia="Times New Roman" w:hAnsi="Cambria" w:cs="Calibri"/>
                <w:color w:val="000000"/>
              </w:rPr>
            </w:pPr>
          </w:p>
        </w:tc>
        <w:tc>
          <w:tcPr>
            <w:tcW w:w="4293" w:type="dxa"/>
            <w:vMerge/>
            <w:tcBorders>
              <w:top w:val="single" w:sz="4" w:space="0" w:color="auto"/>
              <w:left w:val="nil"/>
              <w:bottom w:val="single" w:sz="4" w:space="0" w:color="000000"/>
              <w:right w:val="nil"/>
            </w:tcBorders>
            <w:vAlign w:val="center"/>
            <w:hideMark/>
          </w:tcPr>
          <w:p w14:paraId="1EC07524" w14:textId="77777777" w:rsidR="0081090D" w:rsidRPr="0081090D" w:rsidRDefault="0081090D" w:rsidP="0081090D">
            <w:pPr>
              <w:spacing w:after="0" w:line="240" w:lineRule="auto"/>
              <w:rPr>
                <w:rFonts w:ascii="Cambria" w:eastAsia="Times New Roman" w:hAnsi="Cambria" w:cs="Calibri"/>
                <w:color w:val="000000"/>
              </w:rPr>
            </w:pPr>
          </w:p>
        </w:tc>
        <w:tc>
          <w:tcPr>
            <w:tcW w:w="1731" w:type="dxa"/>
            <w:tcBorders>
              <w:top w:val="nil"/>
              <w:left w:val="nil"/>
              <w:bottom w:val="single" w:sz="4" w:space="0" w:color="auto"/>
              <w:right w:val="nil"/>
            </w:tcBorders>
            <w:shd w:val="clear" w:color="auto" w:fill="auto"/>
            <w:noWrap/>
            <w:vAlign w:val="center"/>
            <w:hideMark/>
          </w:tcPr>
          <w:p w14:paraId="585A9EB9"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NO</w:t>
            </w:r>
            <w:r w:rsidRPr="0081090D">
              <w:rPr>
                <w:rFonts w:ascii="Cambria" w:eastAsia="Times New Roman" w:hAnsi="Cambria" w:cs="Calibri"/>
                <w:color w:val="000000"/>
                <w:vertAlign w:val="subscript"/>
              </w:rPr>
              <w:t>3</w:t>
            </w:r>
            <w:r w:rsidRPr="0081090D">
              <w:rPr>
                <w:rFonts w:ascii="Cambria" w:eastAsia="Times New Roman" w:hAnsi="Cambria" w:cs="Calibri"/>
                <w:color w:val="000000"/>
              </w:rPr>
              <w:t>-N</w:t>
            </w:r>
          </w:p>
        </w:tc>
        <w:tc>
          <w:tcPr>
            <w:tcW w:w="1689" w:type="dxa"/>
            <w:tcBorders>
              <w:top w:val="nil"/>
              <w:left w:val="nil"/>
              <w:bottom w:val="single" w:sz="4" w:space="0" w:color="auto"/>
              <w:right w:val="nil"/>
            </w:tcBorders>
            <w:shd w:val="clear" w:color="auto" w:fill="auto"/>
            <w:noWrap/>
            <w:vAlign w:val="center"/>
            <w:hideMark/>
          </w:tcPr>
          <w:p w14:paraId="2788055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K</w:t>
            </w:r>
          </w:p>
        </w:tc>
      </w:tr>
      <w:tr w:rsidR="0081090D" w:rsidRPr="0081090D" w14:paraId="4EFB33BF" w14:textId="77777777" w:rsidTr="008C106B">
        <w:trPr>
          <w:trHeight w:val="290"/>
        </w:trPr>
        <w:tc>
          <w:tcPr>
            <w:tcW w:w="1647" w:type="dxa"/>
            <w:vMerge w:val="restart"/>
            <w:tcBorders>
              <w:top w:val="nil"/>
              <w:left w:val="nil"/>
              <w:bottom w:val="single" w:sz="4" w:space="0" w:color="000000"/>
              <w:right w:val="nil"/>
            </w:tcBorders>
            <w:shd w:val="clear" w:color="auto" w:fill="auto"/>
            <w:vAlign w:val="center"/>
            <w:hideMark/>
          </w:tcPr>
          <w:p w14:paraId="7384C95D"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Seedless Watermelon</w:t>
            </w:r>
            <w:r w:rsidRPr="0081090D">
              <w:rPr>
                <w:rFonts w:ascii="Cambria" w:eastAsia="Times New Roman" w:hAnsi="Cambria" w:cs="Calibri"/>
                <w:color w:val="000000"/>
                <w:vertAlign w:val="superscript"/>
              </w:rPr>
              <w:t>1</w:t>
            </w:r>
          </w:p>
        </w:tc>
        <w:tc>
          <w:tcPr>
            <w:tcW w:w="4293" w:type="dxa"/>
            <w:tcBorders>
              <w:top w:val="nil"/>
              <w:left w:val="nil"/>
              <w:bottom w:val="nil"/>
              <w:right w:val="nil"/>
            </w:tcBorders>
            <w:shd w:val="clear" w:color="auto" w:fill="auto"/>
            <w:vAlign w:val="center"/>
            <w:hideMark/>
          </w:tcPr>
          <w:p w14:paraId="482DDA17"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Vines 1 to 4-feet in length</w:t>
            </w:r>
          </w:p>
        </w:tc>
        <w:tc>
          <w:tcPr>
            <w:tcW w:w="1731" w:type="dxa"/>
            <w:tcBorders>
              <w:top w:val="nil"/>
              <w:left w:val="nil"/>
              <w:bottom w:val="nil"/>
              <w:right w:val="nil"/>
            </w:tcBorders>
            <w:shd w:val="clear" w:color="auto" w:fill="auto"/>
            <w:vAlign w:val="center"/>
            <w:hideMark/>
          </w:tcPr>
          <w:p w14:paraId="22146E03"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1200-1500</w:t>
            </w:r>
          </w:p>
        </w:tc>
        <w:tc>
          <w:tcPr>
            <w:tcW w:w="1689" w:type="dxa"/>
            <w:tcBorders>
              <w:top w:val="nil"/>
              <w:left w:val="nil"/>
              <w:bottom w:val="nil"/>
              <w:right w:val="nil"/>
            </w:tcBorders>
            <w:shd w:val="clear" w:color="auto" w:fill="auto"/>
            <w:vAlign w:val="center"/>
            <w:hideMark/>
          </w:tcPr>
          <w:p w14:paraId="04CD31C6"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4000-5000</w:t>
            </w:r>
          </w:p>
        </w:tc>
      </w:tr>
      <w:tr w:rsidR="0081090D" w:rsidRPr="0081090D" w14:paraId="3E560E1E" w14:textId="77777777" w:rsidTr="008C106B">
        <w:trPr>
          <w:trHeight w:val="290"/>
        </w:trPr>
        <w:tc>
          <w:tcPr>
            <w:tcW w:w="1647" w:type="dxa"/>
            <w:vMerge/>
            <w:tcBorders>
              <w:top w:val="nil"/>
              <w:left w:val="nil"/>
              <w:bottom w:val="single" w:sz="4" w:space="0" w:color="000000"/>
              <w:right w:val="nil"/>
            </w:tcBorders>
            <w:vAlign w:val="center"/>
            <w:hideMark/>
          </w:tcPr>
          <w:p w14:paraId="15FD16C8" w14:textId="77777777" w:rsidR="0081090D" w:rsidRPr="0081090D" w:rsidRDefault="0081090D" w:rsidP="0081090D">
            <w:pPr>
              <w:spacing w:after="0" w:line="240" w:lineRule="auto"/>
              <w:rPr>
                <w:rFonts w:ascii="Cambria" w:eastAsia="Times New Roman" w:hAnsi="Cambria" w:cs="Calibri"/>
                <w:color w:val="000000"/>
              </w:rPr>
            </w:pPr>
          </w:p>
        </w:tc>
        <w:tc>
          <w:tcPr>
            <w:tcW w:w="4293" w:type="dxa"/>
            <w:tcBorders>
              <w:top w:val="nil"/>
              <w:left w:val="nil"/>
              <w:bottom w:val="nil"/>
              <w:right w:val="nil"/>
            </w:tcBorders>
            <w:shd w:val="clear" w:color="000000" w:fill="BFBFBF"/>
            <w:vAlign w:val="center"/>
            <w:hideMark/>
          </w:tcPr>
          <w:p w14:paraId="295FBBD1"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Fruits 2-inches in length</w:t>
            </w:r>
          </w:p>
        </w:tc>
        <w:tc>
          <w:tcPr>
            <w:tcW w:w="1731" w:type="dxa"/>
            <w:tcBorders>
              <w:top w:val="nil"/>
              <w:left w:val="nil"/>
              <w:bottom w:val="nil"/>
              <w:right w:val="nil"/>
            </w:tcBorders>
            <w:shd w:val="clear" w:color="000000" w:fill="BFBFBF"/>
            <w:vAlign w:val="center"/>
            <w:hideMark/>
          </w:tcPr>
          <w:p w14:paraId="58B50D80"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800-1000</w:t>
            </w:r>
          </w:p>
        </w:tc>
        <w:tc>
          <w:tcPr>
            <w:tcW w:w="1689" w:type="dxa"/>
            <w:tcBorders>
              <w:top w:val="nil"/>
              <w:left w:val="nil"/>
              <w:bottom w:val="nil"/>
              <w:right w:val="nil"/>
            </w:tcBorders>
            <w:shd w:val="clear" w:color="000000" w:fill="BFBFBF"/>
            <w:vAlign w:val="center"/>
            <w:hideMark/>
          </w:tcPr>
          <w:p w14:paraId="34D3D9C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4000-5000</w:t>
            </w:r>
          </w:p>
        </w:tc>
      </w:tr>
      <w:tr w:rsidR="0081090D" w:rsidRPr="0081090D" w14:paraId="643A2BF7" w14:textId="77777777" w:rsidTr="008C106B">
        <w:trPr>
          <w:trHeight w:val="290"/>
        </w:trPr>
        <w:tc>
          <w:tcPr>
            <w:tcW w:w="1647" w:type="dxa"/>
            <w:vMerge/>
            <w:tcBorders>
              <w:top w:val="nil"/>
              <w:left w:val="nil"/>
              <w:bottom w:val="single" w:sz="4" w:space="0" w:color="000000"/>
              <w:right w:val="nil"/>
            </w:tcBorders>
            <w:vAlign w:val="center"/>
            <w:hideMark/>
          </w:tcPr>
          <w:p w14:paraId="06686D8B" w14:textId="77777777" w:rsidR="0081090D" w:rsidRPr="0081090D" w:rsidRDefault="0081090D" w:rsidP="0081090D">
            <w:pPr>
              <w:spacing w:after="0" w:line="240" w:lineRule="auto"/>
              <w:rPr>
                <w:rFonts w:ascii="Cambria" w:eastAsia="Times New Roman" w:hAnsi="Cambria" w:cs="Calibri"/>
                <w:color w:val="000000"/>
              </w:rPr>
            </w:pPr>
          </w:p>
        </w:tc>
        <w:tc>
          <w:tcPr>
            <w:tcW w:w="4293" w:type="dxa"/>
            <w:tcBorders>
              <w:top w:val="nil"/>
              <w:left w:val="nil"/>
              <w:bottom w:val="nil"/>
              <w:right w:val="nil"/>
            </w:tcBorders>
            <w:shd w:val="clear" w:color="auto" w:fill="auto"/>
            <w:vAlign w:val="center"/>
            <w:hideMark/>
          </w:tcPr>
          <w:p w14:paraId="6F3F1C66"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Fruits one-half mature</w:t>
            </w:r>
          </w:p>
        </w:tc>
        <w:tc>
          <w:tcPr>
            <w:tcW w:w="1731" w:type="dxa"/>
            <w:tcBorders>
              <w:top w:val="nil"/>
              <w:left w:val="nil"/>
              <w:bottom w:val="nil"/>
              <w:right w:val="nil"/>
            </w:tcBorders>
            <w:shd w:val="clear" w:color="auto" w:fill="auto"/>
            <w:vAlign w:val="center"/>
            <w:hideMark/>
          </w:tcPr>
          <w:p w14:paraId="63316A04"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600-800</w:t>
            </w:r>
          </w:p>
        </w:tc>
        <w:tc>
          <w:tcPr>
            <w:tcW w:w="1689" w:type="dxa"/>
            <w:tcBorders>
              <w:top w:val="nil"/>
              <w:left w:val="nil"/>
              <w:bottom w:val="nil"/>
              <w:right w:val="nil"/>
            </w:tcBorders>
            <w:shd w:val="clear" w:color="auto" w:fill="auto"/>
            <w:vAlign w:val="center"/>
            <w:hideMark/>
          </w:tcPr>
          <w:p w14:paraId="79BD0A1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3500-4000</w:t>
            </w:r>
          </w:p>
        </w:tc>
      </w:tr>
      <w:tr w:rsidR="0081090D" w:rsidRPr="0081090D" w14:paraId="73139782" w14:textId="77777777" w:rsidTr="008C106B">
        <w:trPr>
          <w:trHeight w:val="290"/>
        </w:trPr>
        <w:tc>
          <w:tcPr>
            <w:tcW w:w="1647" w:type="dxa"/>
            <w:vMerge/>
            <w:tcBorders>
              <w:top w:val="nil"/>
              <w:left w:val="nil"/>
              <w:bottom w:val="single" w:sz="4" w:space="0" w:color="000000"/>
              <w:right w:val="nil"/>
            </w:tcBorders>
            <w:vAlign w:val="center"/>
            <w:hideMark/>
          </w:tcPr>
          <w:p w14:paraId="26B5815E" w14:textId="77777777" w:rsidR="0081090D" w:rsidRPr="0081090D" w:rsidRDefault="0081090D" w:rsidP="0081090D">
            <w:pPr>
              <w:spacing w:after="0" w:line="240" w:lineRule="auto"/>
              <w:rPr>
                <w:rFonts w:ascii="Cambria" w:eastAsia="Times New Roman" w:hAnsi="Cambria" w:cs="Calibri"/>
                <w:color w:val="000000"/>
              </w:rPr>
            </w:pPr>
          </w:p>
        </w:tc>
        <w:tc>
          <w:tcPr>
            <w:tcW w:w="4293" w:type="dxa"/>
            <w:tcBorders>
              <w:top w:val="nil"/>
              <w:left w:val="nil"/>
              <w:bottom w:val="single" w:sz="4" w:space="0" w:color="auto"/>
              <w:right w:val="nil"/>
            </w:tcBorders>
            <w:shd w:val="clear" w:color="000000" w:fill="BFBFBF"/>
            <w:vAlign w:val="center"/>
            <w:hideMark/>
          </w:tcPr>
          <w:p w14:paraId="1C30B670"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rPr>
              <w:t>At first harvest</w:t>
            </w:r>
          </w:p>
        </w:tc>
        <w:tc>
          <w:tcPr>
            <w:tcW w:w="1731" w:type="dxa"/>
            <w:tcBorders>
              <w:top w:val="nil"/>
              <w:left w:val="nil"/>
              <w:bottom w:val="single" w:sz="4" w:space="0" w:color="auto"/>
              <w:right w:val="nil"/>
            </w:tcBorders>
            <w:shd w:val="clear" w:color="000000" w:fill="BFBFBF"/>
            <w:vAlign w:val="center"/>
            <w:hideMark/>
          </w:tcPr>
          <w:p w14:paraId="13D39E83"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400-600</w:t>
            </w:r>
          </w:p>
        </w:tc>
        <w:tc>
          <w:tcPr>
            <w:tcW w:w="1689" w:type="dxa"/>
            <w:tcBorders>
              <w:top w:val="nil"/>
              <w:left w:val="nil"/>
              <w:bottom w:val="single" w:sz="4" w:space="0" w:color="auto"/>
              <w:right w:val="nil"/>
            </w:tcBorders>
            <w:shd w:val="clear" w:color="000000" w:fill="BFBFBF"/>
            <w:vAlign w:val="center"/>
            <w:hideMark/>
          </w:tcPr>
          <w:p w14:paraId="3874C76E" w14:textId="77777777" w:rsidR="0081090D" w:rsidRPr="0081090D" w:rsidRDefault="0081090D" w:rsidP="0081090D">
            <w:pPr>
              <w:spacing w:after="0" w:line="240" w:lineRule="auto"/>
              <w:jc w:val="center"/>
              <w:rPr>
                <w:rFonts w:ascii="Cambria" w:eastAsia="Times New Roman" w:hAnsi="Cambria" w:cs="Calibri"/>
                <w:color w:val="000000"/>
              </w:rPr>
            </w:pPr>
            <w:r w:rsidRPr="0081090D">
              <w:rPr>
                <w:rFonts w:ascii="Cambria" w:eastAsia="Times New Roman" w:hAnsi="Cambria" w:cs="Calibri"/>
                <w:color w:val="000000"/>
              </w:rPr>
              <w:t>3000-3500</w:t>
            </w:r>
          </w:p>
        </w:tc>
      </w:tr>
      <w:tr w:rsidR="0081090D" w:rsidRPr="0081090D" w14:paraId="1E0496E0" w14:textId="77777777" w:rsidTr="008C106B">
        <w:trPr>
          <w:trHeight w:val="290"/>
        </w:trPr>
        <w:tc>
          <w:tcPr>
            <w:tcW w:w="1647" w:type="dxa"/>
            <w:tcBorders>
              <w:top w:val="nil"/>
              <w:left w:val="nil"/>
              <w:bottom w:val="nil"/>
              <w:right w:val="nil"/>
            </w:tcBorders>
            <w:shd w:val="clear" w:color="auto" w:fill="auto"/>
            <w:noWrap/>
            <w:vAlign w:val="bottom"/>
            <w:hideMark/>
          </w:tcPr>
          <w:p w14:paraId="51A83A2E" w14:textId="77777777" w:rsidR="0081090D" w:rsidRPr="0081090D" w:rsidRDefault="0081090D" w:rsidP="0081090D">
            <w:pPr>
              <w:spacing w:after="0" w:line="240" w:lineRule="auto"/>
              <w:jc w:val="center"/>
              <w:rPr>
                <w:rFonts w:ascii="Cambria" w:eastAsia="Times New Roman" w:hAnsi="Cambria" w:cs="Calibri"/>
                <w:color w:val="000000"/>
              </w:rPr>
            </w:pPr>
          </w:p>
        </w:tc>
        <w:tc>
          <w:tcPr>
            <w:tcW w:w="4293" w:type="dxa"/>
            <w:tcBorders>
              <w:top w:val="nil"/>
              <w:left w:val="nil"/>
              <w:bottom w:val="nil"/>
              <w:right w:val="nil"/>
            </w:tcBorders>
            <w:shd w:val="clear" w:color="auto" w:fill="auto"/>
            <w:noWrap/>
            <w:vAlign w:val="bottom"/>
            <w:hideMark/>
          </w:tcPr>
          <w:p w14:paraId="3DCCDC8A"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1731" w:type="dxa"/>
            <w:tcBorders>
              <w:top w:val="nil"/>
              <w:left w:val="nil"/>
              <w:bottom w:val="nil"/>
              <w:right w:val="nil"/>
            </w:tcBorders>
            <w:shd w:val="clear" w:color="auto" w:fill="auto"/>
            <w:noWrap/>
            <w:vAlign w:val="bottom"/>
            <w:hideMark/>
          </w:tcPr>
          <w:p w14:paraId="77356E33" w14:textId="77777777" w:rsidR="0081090D" w:rsidRPr="0081090D" w:rsidRDefault="0081090D" w:rsidP="0081090D">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14:paraId="57D19316" w14:textId="77777777" w:rsidR="0081090D" w:rsidRPr="0081090D" w:rsidRDefault="0081090D" w:rsidP="0081090D">
            <w:pPr>
              <w:spacing w:after="0" w:line="240" w:lineRule="auto"/>
              <w:rPr>
                <w:rFonts w:ascii="Times New Roman" w:eastAsia="Times New Roman" w:hAnsi="Times New Roman" w:cs="Times New Roman"/>
                <w:sz w:val="20"/>
                <w:szCs w:val="20"/>
              </w:rPr>
            </w:pPr>
          </w:p>
        </w:tc>
      </w:tr>
      <w:tr w:rsidR="0081090D" w:rsidRPr="0081090D" w14:paraId="3826CE76" w14:textId="77777777" w:rsidTr="008C106B">
        <w:trPr>
          <w:trHeight w:val="330"/>
        </w:trPr>
        <w:tc>
          <w:tcPr>
            <w:tcW w:w="9360" w:type="dxa"/>
            <w:gridSpan w:val="4"/>
            <w:tcBorders>
              <w:top w:val="nil"/>
              <w:left w:val="nil"/>
              <w:bottom w:val="nil"/>
              <w:right w:val="nil"/>
            </w:tcBorders>
            <w:shd w:val="clear" w:color="auto" w:fill="auto"/>
            <w:noWrap/>
            <w:vAlign w:val="bottom"/>
            <w:hideMark/>
          </w:tcPr>
          <w:p w14:paraId="311CC7B9" w14:textId="77777777" w:rsidR="0081090D" w:rsidRPr="0081090D" w:rsidRDefault="0081090D" w:rsidP="0081090D">
            <w:pPr>
              <w:spacing w:after="0" w:line="240" w:lineRule="auto"/>
              <w:rPr>
                <w:rFonts w:ascii="Cambria" w:eastAsia="Times New Roman" w:hAnsi="Cambria" w:cs="Calibri"/>
                <w:color w:val="000000"/>
              </w:rPr>
            </w:pPr>
            <w:r w:rsidRPr="0081090D">
              <w:rPr>
                <w:rFonts w:ascii="Cambria" w:eastAsia="Times New Roman" w:hAnsi="Cambria" w:cs="Calibri"/>
                <w:color w:val="000000"/>
                <w:sz w:val="20"/>
                <w:szCs w:val="20"/>
                <w:vertAlign w:val="superscript"/>
              </w:rPr>
              <w:t>1</w:t>
            </w:r>
            <w:r w:rsidRPr="0081090D">
              <w:rPr>
                <w:rFonts w:ascii="Cambria" w:eastAsia="Times New Roman" w:hAnsi="Cambria" w:cs="Calibri"/>
                <w:color w:val="000000"/>
                <w:sz w:val="20"/>
                <w:szCs w:val="20"/>
              </w:rPr>
              <w:t>Adequate levels of fresh petiole sap concentration of nitrate-N are lower in seedless when compared to seeded varieties after fruit are set. Adapted from Hochmuth et. al, 1991, 'Plant Tissue Analysis and Interpretation for Vegetable Crops in Florida', (data not published).</w:t>
            </w:r>
          </w:p>
        </w:tc>
      </w:tr>
    </w:tbl>
    <w:p w14:paraId="43CB5EEE" w14:textId="77777777" w:rsidR="0081090D" w:rsidRPr="0081090D" w:rsidRDefault="0081090D" w:rsidP="0081090D">
      <w:pPr>
        <w:spacing w:after="200" w:line="276" w:lineRule="auto"/>
        <w:rPr>
          <w:rFonts w:ascii="Cambria" w:eastAsia="Times New Roman" w:hAnsi="Cambria" w:cs="Times New Roman"/>
          <w:sz w:val="24"/>
          <w:szCs w:val="24"/>
        </w:rPr>
      </w:pPr>
    </w:p>
    <w:p w14:paraId="6C05B709" w14:textId="77777777" w:rsidR="0081090D" w:rsidRPr="0081090D" w:rsidRDefault="0081090D" w:rsidP="0081090D">
      <w:pPr>
        <w:spacing w:after="200" w:line="276" w:lineRule="auto"/>
        <w:rPr>
          <w:rFonts w:ascii="Cambria" w:eastAsia="Times New Roman" w:hAnsi="Cambria" w:cs="Times New Roman"/>
          <w:sz w:val="24"/>
          <w:szCs w:val="24"/>
        </w:rPr>
      </w:pPr>
    </w:p>
    <w:p w14:paraId="324BC7A9" w14:textId="77777777" w:rsidR="0081090D" w:rsidRPr="0081090D" w:rsidRDefault="0081090D" w:rsidP="0081090D">
      <w:pPr>
        <w:spacing w:after="200" w:line="276" w:lineRule="auto"/>
        <w:rPr>
          <w:rFonts w:ascii="Cambria" w:eastAsia="Calibri" w:hAnsi="Cambria" w:cs="Times New Roman"/>
          <w:sz w:val="24"/>
          <w:szCs w:val="24"/>
        </w:rPr>
      </w:pPr>
    </w:p>
    <w:p w14:paraId="0A205661" w14:textId="77777777" w:rsidR="00A34BA1" w:rsidRDefault="00A34BA1" w:rsidP="003A7B1E">
      <w:pPr>
        <w:tabs>
          <w:tab w:val="left" w:pos="7315"/>
        </w:tabs>
        <w:spacing w:after="0"/>
        <w:rPr>
          <w:rStyle w:val="UnitHeading"/>
          <w:rFonts w:ascii="Palatino Linotype" w:eastAsia="Times New Roman" w:hAnsi="Palatino Linotype" w:cs="Times New Roman"/>
          <w:sz w:val="20"/>
          <w:szCs w:val="24"/>
        </w:rPr>
      </w:pPr>
    </w:p>
    <w:sectPr w:rsidR="00A34BA1" w:rsidSect="0081090D">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67646" w14:textId="77777777" w:rsidR="006D7F5A" w:rsidRDefault="006D7F5A" w:rsidP="003A7B1E">
      <w:pPr>
        <w:spacing w:after="0" w:line="240" w:lineRule="auto"/>
      </w:pPr>
      <w:r>
        <w:separator/>
      </w:r>
    </w:p>
  </w:endnote>
  <w:endnote w:type="continuationSeparator" w:id="0">
    <w:p w14:paraId="0B786BC1" w14:textId="77777777" w:rsidR="006D7F5A" w:rsidRDefault="006D7F5A" w:rsidP="003A7B1E">
      <w:pPr>
        <w:spacing w:after="0" w:line="240" w:lineRule="auto"/>
      </w:pPr>
      <w:r>
        <w:continuationSeparator/>
      </w:r>
    </w:p>
  </w:endnote>
  <w:endnote w:type="continuationNotice" w:id="1">
    <w:p w14:paraId="65C8C89E" w14:textId="77777777" w:rsidR="006D7F5A" w:rsidRDefault="006D7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982C0" w14:textId="77777777" w:rsidR="006D7F5A" w:rsidRDefault="006D7F5A" w:rsidP="003A7B1E">
      <w:pPr>
        <w:spacing w:after="0" w:line="240" w:lineRule="auto"/>
      </w:pPr>
      <w:r>
        <w:separator/>
      </w:r>
    </w:p>
  </w:footnote>
  <w:footnote w:type="continuationSeparator" w:id="0">
    <w:p w14:paraId="75C6A3D5" w14:textId="77777777" w:rsidR="006D7F5A" w:rsidRDefault="006D7F5A" w:rsidP="003A7B1E">
      <w:pPr>
        <w:spacing w:after="0" w:line="240" w:lineRule="auto"/>
      </w:pPr>
      <w:r>
        <w:continuationSeparator/>
      </w:r>
    </w:p>
  </w:footnote>
  <w:footnote w:type="continuationNotice" w:id="1">
    <w:p w14:paraId="5DDDAB54" w14:textId="77777777" w:rsidR="006D7F5A" w:rsidRDefault="006D7F5A">
      <w:pPr>
        <w:spacing w:after="0" w:line="240" w:lineRule="auto"/>
      </w:pPr>
    </w:p>
  </w:footnote>
  <w:footnote w:id="2">
    <w:p w14:paraId="3C6E5677" w14:textId="77777777" w:rsidR="0081090D" w:rsidRPr="0081090D" w:rsidRDefault="0081090D" w:rsidP="0081090D">
      <w:pPr>
        <w:pStyle w:val="FootnoteText"/>
        <w:rPr>
          <w:rStyle w:val="UnitHeading"/>
          <w:rFonts w:ascii="Cambria" w:eastAsia="Times New Roman" w:hAnsi="Cambria" w:cs="Times New Roman"/>
          <w:sz w:val="24"/>
          <w:szCs w:val="24"/>
        </w:rPr>
      </w:pPr>
      <w:r>
        <w:rPr>
          <w:rStyle w:val="FootnoteReference"/>
        </w:rPr>
        <w:footnoteRef/>
      </w:r>
      <w:r>
        <w:t xml:space="preserve"> </w:t>
      </w:r>
      <w:r w:rsidRPr="0081090D">
        <w:rPr>
          <w:rStyle w:val="UnitHeading"/>
          <w:rFonts w:ascii="Cambria" w:eastAsia="Times New Roman" w:hAnsi="Cambria" w:cs="Times New Roman"/>
          <w:sz w:val="24"/>
          <w:szCs w:val="24"/>
        </w:rPr>
        <w:t xml:space="preserve">The graph shows soil moisture content readings for each soil moisture sensor placed at different depths beneath the soil surface: 4” (light blue line), 8” (orange line), 12” (gray line), 16” (yellow line), and 20” (dark blue line). </w:t>
      </w:r>
    </w:p>
    <w:p w14:paraId="6FF7D76A" w14:textId="77777777" w:rsidR="0081090D" w:rsidRPr="0081090D" w:rsidRDefault="0081090D" w:rsidP="0081090D">
      <w:pPr>
        <w:pStyle w:val="FootnoteText"/>
        <w:rPr>
          <w:rStyle w:val="UnitHeading"/>
          <w:rFonts w:ascii="Cambria" w:eastAsia="Times New Roman" w:hAnsi="Cambria" w:cs="Times New Roman"/>
          <w:sz w:val="24"/>
          <w:szCs w:val="24"/>
        </w:rPr>
      </w:pPr>
      <w:r w:rsidRPr="0081090D">
        <w:rPr>
          <w:rStyle w:val="UnitHeading"/>
          <w:rFonts w:ascii="Cambria" w:eastAsia="Times New Roman" w:hAnsi="Cambria" w:cs="Times New Roman"/>
          <w:sz w:val="24"/>
          <w:szCs w:val="24"/>
        </w:rPr>
        <w:t>The highlighted area encompasses the volumetric water content during the period of May 1</w:t>
      </w:r>
      <w:r w:rsidRPr="0081090D">
        <w:rPr>
          <w:rStyle w:val="UnitHeading"/>
          <w:rFonts w:ascii="Cambria" w:eastAsia="Times New Roman" w:hAnsi="Cambria" w:cs="Times New Roman"/>
          <w:sz w:val="24"/>
          <w:szCs w:val="24"/>
          <w:vertAlign w:val="superscript"/>
        </w:rPr>
        <w:t>st</w:t>
      </w:r>
      <w:r w:rsidRPr="0081090D">
        <w:rPr>
          <w:rStyle w:val="UnitHeading"/>
          <w:rFonts w:ascii="Cambria" w:eastAsia="Times New Roman" w:hAnsi="Cambria" w:cs="Times New Roman"/>
          <w:sz w:val="24"/>
          <w:szCs w:val="24"/>
        </w:rPr>
        <w:t xml:space="preserve"> to May 10</w:t>
      </w:r>
      <w:r w:rsidRPr="0081090D">
        <w:rPr>
          <w:rStyle w:val="UnitHeading"/>
          <w:rFonts w:ascii="Cambria" w:eastAsia="Times New Roman" w:hAnsi="Cambria" w:cs="Times New Roman"/>
          <w:sz w:val="24"/>
          <w:szCs w:val="24"/>
          <w:vertAlign w:val="superscript"/>
        </w:rPr>
        <w:t>th</w:t>
      </w:r>
      <w:r w:rsidRPr="0081090D">
        <w:rPr>
          <w:rStyle w:val="UnitHeading"/>
          <w:rFonts w:ascii="Cambria" w:eastAsia="Times New Roman" w:hAnsi="Cambria" w:cs="Times New Roman"/>
          <w:sz w:val="24"/>
          <w:szCs w:val="24"/>
        </w:rPr>
        <w:t xml:space="preserve">, 2020. </w:t>
      </w:r>
    </w:p>
    <w:p w14:paraId="120FE297" w14:textId="77777777" w:rsidR="0081090D" w:rsidRPr="0081090D" w:rsidRDefault="0081090D" w:rsidP="0081090D">
      <w:pPr>
        <w:pStyle w:val="FootnoteText"/>
        <w:rPr>
          <w:rStyle w:val="UnitHeading"/>
          <w:rFonts w:ascii="Cambria" w:eastAsia="Times New Roman" w:hAnsi="Cambria" w:cs="Times New Roman"/>
          <w:sz w:val="24"/>
          <w:szCs w:val="24"/>
        </w:rPr>
      </w:pPr>
      <w:r w:rsidRPr="0081090D">
        <w:rPr>
          <w:rStyle w:val="UnitHeading"/>
          <w:rFonts w:ascii="Cambria" w:eastAsia="Times New Roman" w:hAnsi="Cambria" w:cs="Times New Roman"/>
          <w:sz w:val="24"/>
          <w:szCs w:val="24"/>
        </w:rPr>
        <w:t xml:space="preserve">During this period, there was a sharp drop in plant nutrient levels. Such phenomena could potentially be explained by events of leaching rain, however, in this trial, we do not observe leaching rain events in the period of discussion. </w:t>
      </w:r>
    </w:p>
    <w:p w14:paraId="06746FAF" w14:textId="77777777" w:rsidR="0081090D" w:rsidRDefault="0081090D" w:rsidP="0081090D">
      <w:pPr>
        <w:pStyle w:val="FootnoteText"/>
      </w:pPr>
      <w:r w:rsidRPr="0081090D">
        <w:rPr>
          <w:rStyle w:val="UnitHeading"/>
          <w:rFonts w:ascii="Cambria" w:eastAsia="Times New Roman" w:hAnsi="Cambria" w:cs="Times New Roman"/>
          <w:sz w:val="24"/>
          <w:szCs w:val="24"/>
        </w:rPr>
        <w:t xml:space="preserve">Leaching rain or over-irrigation events would be characterized by a sharp increase in soil moisture at deeper sensors, such as the sensor at 20” depth (dark blue line).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91A03"/>
    <w:multiLevelType w:val="hybridMultilevel"/>
    <w:tmpl w:val="22CEB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50BBA"/>
    <w:multiLevelType w:val="hybridMultilevel"/>
    <w:tmpl w:val="30546094"/>
    <w:lvl w:ilvl="0" w:tplc="738A0DBC">
      <w:start w:val="1"/>
      <w:numFmt w:val="bullet"/>
      <w:lvlText w:val=""/>
      <w:lvlJc w:val="left"/>
      <w:pPr>
        <w:ind w:left="720" w:hanging="360"/>
      </w:pPr>
      <w:rPr>
        <w:rFonts w:ascii="Symbol" w:hAnsi="Symbol" w:hint="default"/>
      </w:rPr>
    </w:lvl>
    <w:lvl w:ilvl="1" w:tplc="41A6E586">
      <w:start w:val="1"/>
      <w:numFmt w:val="bullet"/>
      <w:lvlText w:val="o"/>
      <w:lvlJc w:val="left"/>
      <w:pPr>
        <w:ind w:left="1440" w:hanging="360"/>
      </w:pPr>
      <w:rPr>
        <w:rFonts w:ascii="Courier New" w:hAnsi="Courier New" w:hint="default"/>
      </w:rPr>
    </w:lvl>
    <w:lvl w:ilvl="2" w:tplc="0C927A7C">
      <w:start w:val="1"/>
      <w:numFmt w:val="bullet"/>
      <w:lvlText w:val=""/>
      <w:lvlJc w:val="left"/>
      <w:pPr>
        <w:ind w:left="2160" w:hanging="360"/>
      </w:pPr>
      <w:rPr>
        <w:rFonts w:ascii="Wingdings" w:hAnsi="Wingdings" w:hint="default"/>
      </w:rPr>
    </w:lvl>
    <w:lvl w:ilvl="3" w:tplc="795C22C6">
      <w:start w:val="1"/>
      <w:numFmt w:val="bullet"/>
      <w:lvlText w:val=""/>
      <w:lvlJc w:val="left"/>
      <w:pPr>
        <w:ind w:left="2880" w:hanging="360"/>
      </w:pPr>
      <w:rPr>
        <w:rFonts w:ascii="Symbol" w:hAnsi="Symbol" w:hint="default"/>
      </w:rPr>
    </w:lvl>
    <w:lvl w:ilvl="4" w:tplc="77765094">
      <w:start w:val="1"/>
      <w:numFmt w:val="bullet"/>
      <w:lvlText w:val="o"/>
      <w:lvlJc w:val="left"/>
      <w:pPr>
        <w:ind w:left="3600" w:hanging="360"/>
      </w:pPr>
      <w:rPr>
        <w:rFonts w:ascii="Courier New" w:hAnsi="Courier New" w:hint="default"/>
      </w:rPr>
    </w:lvl>
    <w:lvl w:ilvl="5" w:tplc="AD3EB416">
      <w:start w:val="1"/>
      <w:numFmt w:val="bullet"/>
      <w:lvlText w:val=""/>
      <w:lvlJc w:val="left"/>
      <w:pPr>
        <w:ind w:left="4320" w:hanging="360"/>
      </w:pPr>
      <w:rPr>
        <w:rFonts w:ascii="Wingdings" w:hAnsi="Wingdings" w:hint="default"/>
      </w:rPr>
    </w:lvl>
    <w:lvl w:ilvl="6" w:tplc="58A633B2">
      <w:start w:val="1"/>
      <w:numFmt w:val="bullet"/>
      <w:lvlText w:val=""/>
      <w:lvlJc w:val="left"/>
      <w:pPr>
        <w:ind w:left="5040" w:hanging="360"/>
      </w:pPr>
      <w:rPr>
        <w:rFonts w:ascii="Symbol" w:hAnsi="Symbol" w:hint="default"/>
      </w:rPr>
    </w:lvl>
    <w:lvl w:ilvl="7" w:tplc="AD3EC680">
      <w:start w:val="1"/>
      <w:numFmt w:val="bullet"/>
      <w:lvlText w:val="o"/>
      <w:lvlJc w:val="left"/>
      <w:pPr>
        <w:ind w:left="5760" w:hanging="360"/>
      </w:pPr>
      <w:rPr>
        <w:rFonts w:ascii="Courier New" w:hAnsi="Courier New" w:hint="default"/>
      </w:rPr>
    </w:lvl>
    <w:lvl w:ilvl="8" w:tplc="951E1AB8">
      <w:start w:val="1"/>
      <w:numFmt w:val="bullet"/>
      <w:lvlText w:val=""/>
      <w:lvlJc w:val="left"/>
      <w:pPr>
        <w:ind w:left="6480" w:hanging="360"/>
      </w:pPr>
      <w:rPr>
        <w:rFonts w:ascii="Wingdings" w:hAnsi="Wingdings" w:hint="default"/>
      </w:rPr>
    </w:lvl>
  </w:abstractNum>
  <w:abstractNum w:abstractNumId="2" w15:restartNumberingAfterBreak="0">
    <w:nsid w:val="3B9214DC"/>
    <w:multiLevelType w:val="hybridMultilevel"/>
    <w:tmpl w:val="B9D25556"/>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64423D"/>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B34787"/>
    <w:multiLevelType w:val="hybridMultilevel"/>
    <w:tmpl w:val="3F7A9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B74000"/>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7D6E87"/>
    <w:multiLevelType w:val="hybridMultilevel"/>
    <w:tmpl w:val="DFC8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B94FB6"/>
    <w:multiLevelType w:val="hybridMultilevel"/>
    <w:tmpl w:val="FEA0D088"/>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A0NTc2NDcBIiUdpeDU4uLM/DyQAvNaAMa11BQsAAAA"/>
  </w:docVars>
  <w:rsids>
    <w:rsidRoot w:val="3A9D52BB"/>
    <w:rsid w:val="00001878"/>
    <w:rsid w:val="00001D14"/>
    <w:rsid w:val="00002EE7"/>
    <w:rsid w:val="0000426F"/>
    <w:rsid w:val="00010C06"/>
    <w:rsid w:val="0001174F"/>
    <w:rsid w:val="00020040"/>
    <w:rsid w:val="000229CD"/>
    <w:rsid w:val="00022EC6"/>
    <w:rsid w:val="00026AB3"/>
    <w:rsid w:val="0002787F"/>
    <w:rsid w:val="0003019D"/>
    <w:rsid w:val="00030421"/>
    <w:rsid w:val="000324EC"/>
    <w:rsid w:val="000334E4"/>
    <w:rsid w:val="00034C08"/>
    <w:rsid w:val="00040646"/>
    <w:rsid w:val="00043891"/>
    <w:rsid w:val="000509A9"/>
    <w:rsid w:val="000516BC"/>
    <w:rsid w:val="00052EDC"/>
    <w:rsid w:val="00053400"/>
    <w:rsid w:val="00055921"/>
    <w:rsid w:val="0005710F"/>
    <w:rsid w:val="00061BBA"/>
    <w:rsid w:val="0006374B"/>
    <w:rsid w:val="00063777"/>
    <w:rsid w:val="00064AAE"/>
    <w:rsid w:val="0006588A"/>
    <w:rsid w:val="00067EC4"/>
    <w:rsid w:val="0007017B"/>
    <w:rsid w:val="00070366"/>
    <w:rsid w:val="000719A6"/>
    <w:rsid w:val="00072CD4"/>
    <w:rsid w:val="000731B5"/>
    <w:rsid w:val="00073A21"/>
    <w:rsid w:val="000772E1"/>
    <w:rsid w:val="00080D7D"/>
    <w:rsid w:val="00080DDF"/>
    <w:rsid w:val="00080F1C"/>
    <w:rsid w:val="00082218"/>
    <w:rsid w:val="00083FCA"/>
    <w:rsid w:val="00086995"/>
    <w:rsid w:val="000869A2"/>
    <w:rsid w:val="00086EA3"/>
    <w:rsid w:val="00090F11"/>
    <w:rsid w:val="0009219C"/>
    <w:rsid w:val="0009576A"/>
    <w:rsid w:val="000962F7"/>
    <w:rsid w:val="00097070"/>
    <w:rsid w:val="00097F3B"/>
    <w:rsid w:val="000A0641"/>
    <w:rsid w:val="000A2FFF"/>
    <w:rsid w:val="000A3AD8"/>
    <w:rsid w:val="000A3CC8"/>
    <w:rsid w:val="000A3F4D"/>
    <w:rsid w:val="000B0081"/>
    <w:rsid w:val="000B1D46"/>
    <w:rsid w:val="000B267B"/>
    <w:rsid w:val="000B27FB"/>
    <w:rsid w:val="000B7706"/>
    <w:rsid w:val="000C2AA5"/>
    <w:rsid w:val="000C35A1"/>
    <w:rsid w:val="000C459F"/>
    <w:rsid w:val="000C4968"/>
    <w:rsid w:val="000C49AA"/>
    <w:rsid w:val="000C5155"/>
    <w:rsid w:val="000C5B4A"/>
    <w:rsid w:val="000C7351"/>
    <w:rsid w:val="000D0EA5"/>
    <w:rsid w:val="000D71B4"/>
    <w:rsid w:val="000D753E"/>
    <w:rsid w:val="000E1C89"/>
    <w:rsid w:val="000E2065"/>
    <w:rsid w:val="000E351E"/>
    <w:rsid w:val="000E71F6"/>
    <w:rsid w:val="000E7B61"/>
    <w:rsid w:val="000F2390"/>
    <w:rsid w:val="000F6034"/>
    <w:rsid w:val="000F7395"/>
    <w:rsid w:val="000F7DAA"/>
    <w:rsid w:val="001026EF"/>
    <w:rsid w:val="00105D16"/>
    <w:rsid w:val="0010649F"/>
    <w:rsid w:val="001100D0"/>
    <w:rsid w:val="00110B1D"/>
    <w:rsid w:val="00111A61"/>
    <w:rsid w:val="001124C4"/>
    <w:rsid w:val="00113F7B"/>
    <w:rsid w:val="0011662D"/>
    <w:rsid w:val="0012122A"/>
    <w:rsid w:val="00121258"/>
    <w:rsid w:val="00121CEA"/>
    <w:rsid w:val="00122095"/>
    <w:rsid w:val="00126469"/>
    <w:rsid w:val="0013273D"/>
    <w:rsid w:val="00133FC5"/>
    <w:rsid w:val="00134A3E"/>
    <w:rsid w:val="00136FC3"/>
    <w:rsid w:val="00145028"/>
    <w:rsid w:val="001451D5"/>
    <w:rsid w:val="00147770"/>
    <w:rsid w:val="001514AE"/>
    <w:rsid w:val="00154FED"/>
    <w:rsid w:val="00156F80"/>
    <w:rsid w:val="00157130"/>
    <w:rsid w:val="00161ABE"/>
    <w:rsid w:val="00163BAF"/>
    <w:rsid w:val="00165D5A"/>
    <w:rsid w:val="00166FBC"/>
    <w:rsid w:val="00167D05"/>
    <w:rsid w:val="00173B18"/>
    <w:rsid w:val="00181D73"/>
    <w:rsid w:val="00185CF5"/>
    <w:rsid w:val="00191A06"/>
    <w:rsid w:val="00192F95"/>
    <w:rsid w:val="001938BA"/>
    <w:rsid w:val="00193B22"/>
    <w:rsid w:val="0019475A"/>
    <w:rsid w:val="001A27C6"/>
    <w:rsid w:val="001B382A"/>
    <w:rsid w:val="001B56B6"/>
    <w:rsid w:val="001B579C"/>
    <w:rsid w:val="001B61B9"/>
    <w:rsid w:val="001B7E05"/>
    <w:rsid w:val="001C0AB8"/>
    <w:rsid w:val="001C5460"/>
    <w:rsid w:val="001C55BD"/>
    <w:rsid w:val="001C628E"/>
    <w:rsid w:val="001D139C"/>
    <w:rsid w:val="001E020F"/>
    <w:rsid w:val="001E086F"/>
    <w:rsid w:val="001E3983"/>
    <w:rsid w:val="002009D8"/>
    <w:rsid w:val="002033F1"/>
    <w:rsid w:val="002041AA"/>
    <w:rsid w:val="00205486"/>
    <w:rsid w:val="00210547"/>
    <w:rsid w:val="00211B50"/>
    <w:rsid w:val="0021383D"/>
    <w:rsid w:val="00216DDB"/>
    <w:rsid w:val="0022123D"/>
    <w:rsid w:val="00221903"/>
    <w:rsid w:val="00222B09"/>
    <w:rsid w:val="0022435D"/>
    <w:rsid w:val="0022585D"/>
    <w:rsid w:val="0022652B"/>
    <w:rsid w:val="002310AA"/>
    <w:rsid w:val="002364E0"/>
    <w:rsid w:val="0023739D"/>
    <w:rsid w:val="002532E0"/>
    <w:rsid w:val="00254DD6"/>
    <w:rsid w:val="00257750"/>
    <w:rsid w:val="00260E4C"/>
    <w:rsid w:val="00262CEA"/>
    <w:rsid w:val="00264393"/>
    <w:rsid w:val="00270320"/>
    <w:rsid w:val="00275708"/>
    <w:rsid w:val="00275D3B"/>
    <w:rsid w:val="002800ED"/>
    <w:rsid w:val="00284922"/>
    <w:rsid w:val="002905E1"/>
    <w:rsid w:val="002909F9"/>
    <w:rsid w:val="00290A36"/>
    <w:rsid w:val="00292B5D"/>
    <w:rsid w:val="00294926"/>
    <w:rsid w:val="002A4206"/>
    <w:rsid w:val="002A509D"/>
    <w:rsid w:val="002A5A4B"/>
    <w:rsid w:val="002A6B5A"/>
    <w:rsid w:val="002A6E55"/>
    <w:rsid w:val="002A7291"/>
    <w:rsid w:val="002B2B48"/>
    <w:rsid w:val="002B49EC"/>
    <w:rsid w:val="002B56DF"/>
    <w:rsid w:val="002C3215"/>
    <w:rsid w:val="002C500A"/>
    <w:rsid w:val="002D05EB"/>
    <w:rsid w:val="002D0B5F"/>
    <w:rsid w:val="002D2595"/>
    <w:rsid w:val="002D2E7D"/>
    <w:rsid w:val="002D4C15"/>
    <w:rsid w:val="002D5943"/>
    <w:rsid w:val="002D7100"/>
    <w:rsid w:val="002D7464"/>
    <w:rsid w:val="002E7C43"/>
    <w:rsid w:val="002F10F7"/>
    <w:rsid w:val="002F15E8"/>
    <w:rsid w:val="002F1CDB"/>
    <w:rsid w:val="002F66E6"/>
    <w:rsid w:val="0030030C"/>
    <w:rsid w:val="00303A63"/>
    <w:rsid w:val="003044C3"/>
    <w:rsid w:val="003067C5"/>
    <w:rsid w:val="0030687A"/>
    <w:rsid w:val="00312791"/>
    <w:rsid w:val="003156D5"/>
    <w:rsid w:val="00323C6B"/>
    <w:rsid w:val="003308CF"/>
    <w:rsid w:val="00332352"/>
    <w:rsid w:val="003410A6"/>
    <w:rsid w:val="00346789"/>
    <w:rsid w:val="00347C9D"/>
    <w:rsid w:val="003503F0"/>
    <w:rsid w:val="00356933"/>
    <w:rsid w:val="00356C06"/>
    <w:rsid w:val="0037391D"/>
    <w:rsid w:val="003746CC"/>
    <w:rsid w:val="0037518C"/>
    <w:rsid w:val="003811CB"/>
    <w:rsid w:val="003815EF"/>
    <w:rsid w:val="003871A6"/>
    <w:rsid w:val="0038730A"/>
    <w:rsid w:val="00392715"/>
    <w:rsid w:val="00392BD7"/>
    <w:rsid w:val="003932FD"/>
    <w:rsid w:val="00397A4E"/>
    <w:rsid w:val="003A1746"/>
    <w:rsid w:val="003A1F4D"/>
    <w:rsid w:val="003A2332"/>
    <w:rsid w:val="003A535B"/>
    <w:rsid w:val="003A7B1E"/>
    <w:rsid w:val="003B0758"/>
    <w:rsid w:val="003B3DD9"/>
    <w:rsid w:val="003B428F"/>
    <w:rsid w:val="003B491D"/>
    <w:rsid w:val="003B57FA"/>
    <w:rsid w:val="003B5C9D"/>
    <w:rsid w:val="003C12B3"/>
    <w:rsid w:val="003C4274"/>
    <w:rsid w:val="003C5C8D"/>
    <w:rsid w:val="003C7674"/>
    <w:rsid w:val="003D37E3"/>
    <w:rsid w:val="003D3F03"/>
    <w:rsid w:val="003D42A5"/>
    <w:rsid w:val="003D4FCD"/>
    <w:rsid w:val="003D5817"/>
    <w:rsid w:val="003E2EB5"/>
    <w:rsid w:val="003E4BFE"/>
    <w:rsid w:val="003E4D7C"/>
    <w:rsid w:val="003F559B"/>
    <w:rsid w:val="003F57B6"/>
    <w:rsid w:val="003F5913"/>
    <w:rsid w:val="003F7017"/>
    <w:rsid w:val="003F7E99"/>
    <w:rsid w:val="004009D2"/>
    <w:rsid w:val="0040314D"/>
    <w:rsid w:val="00406751"/>
    <w:rsid w:val="0040797D"/>
    <w:rsid w:val="00407F20"/>
    <w:rsid w:val="004101A4"/>
    <w:rsid w:val="0041089C"/>
    <w:rsid w:val="00413188"/>
    <w:rsid w:val="00414563"/>
    <w:rsid w:val="00414A1F"/>
    <w:rsid w:val="00415847"/>
    <w:rsid w:val="0041686D"/>
    <w:rsid w:val="00420261"/>
    <w:rsid w:val="004217E0"/>
    <w:rsid w:val="00421FA8"/>
    <w:rsid w:val="0042433D"/>
    <w:rsid w:val="00433779"/>
    <w:rsid w:val="004374DF"/>
    <w:rsid w:val="0043783E"/>
    <w:rsid w:val="00445D0D"/>
    <w:rsid w:val="0044723D"/>
    <w:rsid w:val="0044729D"/>
    <w:rsid w:val="004513F4"/>
    <w:rsid w:val="00452767"/>
    <w:rsid w:val="00452921"/>
    <w:rsid w:val="00452EF5"/>
    <w:rsid w:val="00453235"/>
    <w:rsid w:val="00455EEE"/>
    <w:rsid w:val="00456781"/>
    <w:rsid w:val="00460B44"/>
    <w:rsid w:val="0046110D"/>
    <w:rsid w:val="004614A8"/>
    <w:rsid w:val="004705F6"/>
    <w:rsid w:val="00476D69"/>
    <w:rsid w:val="00482B0C"/>
    <w:rsid w:val="004862BE"/>
    <w:rsid w:val="00487D28"/>
    <w:rsid w:val="0049342A"/>
    <w:rsid w:val="00494954"/>
    <w:rsid w:val="00495F10"/>
    <w:rsid w:val="004A03A9"/>
    <w:rsid w:val="004A1F84"/>
    <w:rsid w:val="004A1FC4"/>
    <w:rsid w:val="004A22CA"/>
    <w:rsid w:val="004A3AD0"/>
    <w:rsid w:val="004A3FC4"/>
    <w:rsid w:val="004B2C9A"/>
    <w:rsid w:val="004B35A7"/>
    <w:rsid w:val="004B443C"/>
    <w:rsid w:val="004B6395"/>
    <w:rsid w:val="004B7FF7"/>
    <w:rsid w:val="004C204D"/>
    <w:rsid w:val="004C2FA1"/>
    <w:rsid w:val="004C3A52"/>
    <w:rsid w:val="004C71A4"/>
    <w:rsid w:val="004D36DB"/>
    <w:rsid w:val="004D41E8"/>
    <w:rsid w:val="004D4C66"/>
    <w:rsid w:val="004D4E5C"/>
    <w:rsid w:val="004D5F27"/>
    <w:rsid w:val="004D66E0"/>
    <w:rsid w:val="004D6B53"/>
    <w:rsid w:val="004E4C91"/>
    <w:rsid w:val="004E4E00"/>
    <w:rsid w:val="004E5847"/>
    <w:rsid w:val="004E5EA9"/>
    <w:rsid w:val="004F0F0E"/>
    <w:rsid w:val="004F13CF"/>
    <w:rsid w:val="005013FE"/>
    <w:rsid w:val="0050205F"/>
    <w:rsid w:val="0050342A"/>
    <w:rsid w:val="005132AA"/>
    <w:rsid w:val="0051338A"/>
    <w:rsid w:val="005152A2"/>
    <w:rsid w:val="00517AF1"/>
    <w:rsid w:val="005210B1"/>
    <w:rsid w:val="00523803"/>
    <w:rsid w:val="00524103"/>
    <w:rsid w:val="00527FCF"/>
    <w:rsid w:val="00530283"/>
    <w:rsid w:val="00530A2F"/>
    <w:rsid w:val="00531779"/>
    <w:rsid w:val="0053292C"/>
    <w:rsid w:val="00534E00"/>
    <w:rsid w:val="00536357"/>
    <w:rsid w:val="00540E0D"/>
    <w:rsid w:val="00543194"/>
    <w:rsid w:val="00543F61"/>
    <w:rsid w:val="00544305"/>
    <w:rsid w:val="00545C35"/>
    <w:rsid w:val="005502E7"/>
    <w:rsid w:val="00552609"/>
    <w:rsid w:val="00552874"/>
    <w:rsid w:val="00552A26"/>
    <w:rsid w:val="005539F0"/>
    <w:rsid w:val="0055478D"/>
    <w:rsid w:val="0055554F"/>
    <w:rsid w:val="00556A99"/>
    <w:rsid w:val="00560769"/>
    <w:rsid w:val="00565444"/>
    <w:rsid w:val="00565566"/>
    <w:rsid w:val="0057093A"/>
    <w:rsid w:val="005713A8"/>
    <w:rsid w:val="00571DBC"/>
    <w:rsid w:val="00573338"/>
    <w:rsid w:val="00575037"/>
    <w:rsid w:val="00576D66"/>
    <w:rsid w:val="00590482"/>
    <w:rsid w:val="00593450"/>
    <w:rsid w:val="005940ED"/>
    <w:rsid w:val="005942F7"/>
    <w:rsid w:val="0059594C"/>
    <w:rsid w:val="005A03E5"/>
    <w:rsid w:val="005A512A"/>
    <w:rsid w:val="005A7977"/>
    <w:rsid w:val="005A7BE1"/>
    <w:rsid w:val="005B454F"/>
    <w:rsid w:val="005B7106"/>
    <w:rsid w:val="005B7A40"/>
    <w:rsid w:val="005C274F"/>
    <w:rsid w:val="005D1D1A"/>
    <w:rsid w:val="005D367F"/>
    <w:rsid w:val="005D37BB"/>
    <w:rsid w:val="005D39FA"/>
    <w:rsid w:val="005D4CE7"/>
    <w:rsid w:val="005E0F82"/>
    <w:rsid w:val="005E4E7F"/>
    <w:rsid w:val="005E580D"/>
    <w:rsid w:val="005E5DEA"/>
    <w:rsid w:val="005F561B"/>
    <w:rsid w:val="005F6FC8"/>
    <w:rsid w:val="006004D7"/>
    <w:rsid w:val="00600859"/>
    <w:rsid w:val="00606F91"/>
    <w:rsid w:val="00607BDE"/>
    <w:rsid w:val="006106D5"/>
    <w:rsid w:val="006125C3"/>
    <w:rsid w:val="006162B4"/>
    <w:rsid w:val="00616D0B"/>
    <w:rsid w:val="00620DBB"/>
    <w:rsid w:val="00626481"/>
    <w:rsid w:val="006277CD"/>
    <w:rsid w:val="00627A3C"/>
    <w:rsid w:val="00632582"/>
    <w:rsid w:val="00632941"/>
    <w:rsid w:val="00637BC1"/>
    <w:rsid w:val="00640124"/>
    <w:rsid w:val="0064052B"/>
    <w:rsid w:val="00641E10"/>
    <w:rsid w:val="00643741"/>
    <w:rsid w:val="00644A4C"/>
    <w:rsid w:val="00647B8C"/>
    <w:rsid w:val="0065010B"/>
    <w:rsid w:val="006506DA"/>
    <w:rsid w:val="00653D5C"/>
    <w:rsid w:val="006551A7"/>
    <w:rsid w:val="006627E0"/>
    <w:rsid w:val="00673AA5"/>
    <w:rsid w:val="00675B0C"/>
    <w:rsid w:val="00682D01"/>
    <w:rsid w:val="00684317"/>
    <w:rsid w:val="006860BB"/>
    <w:rsid w:val="0069446F"/>
    <w:rsid w:val="006A1EDB"/>
    <w:rsid w:val="006A5B44"/>
    <w:rsid w:val="006A774E"/>
    <w:rsid w:val="006A7761"/>
    <w:rsid w:val="006B0682"/>
    <w:rsid w:val="006B1237"/>
    <w:rsid w:val="006B31CA"/>
    <w:rsid w:val="006B5C9E"/>
    <w:rsid w:val="006C15CA"/>
    <w:rsid w:val="006D1A57"/>
    <w:rsid w:val="006D46BB"/>
    <w:rsid w:val="006D527B"/>
    <w:rsid w:val="006D7F5A"/>
    <w:rsid w:val="006E0493"/>
    <w:rsid w:val="006E19F9"/>
    <w:rsid w:val="006E5396"/>
    <w:rsid w:val="006E55D4"/>
    <w:rsid w:val="006E7564"/>
    <w:rsid w:val="006E7F0F"/>
    <w:rsid w:val="006F0DBD"/>
    <w:rsid w:val="006F396F"/>
    <w:rsid w:val="006F407B"/>
    <w:rsid w:val="006F7A07"/>
    <w:rsid w:val="00701A56"/>
    <w:rsid w:val="007036E1"/>
    <w:rsid w:val="007037C0"/>
    <w:rsid w:val="00705812"/>
    <w:rsid w:val="00706DEC"/>
    <w:rsid w:val="007073D3"/>
    <w:rsid w:val="00707642"/>
    <w:rsid w:val="00712CFC"/>
    <w:rsid w:val="00714858"/>
    <w:rsid w:val="00715350"/>
    <w:rsid w:val="00716289"/>
    <w:rsid w:val="0071738D"/>
    <w:rsid w:val="00717958"/>
    <w:rsid w:val="00720E20"/>
    <w:rsid w:val="007231C2"/>
    <w:rsid w:val="0072610D"/>
    <w:rsid w:val="007306F5"/>
    <w:rsid w:val="00733521"/>
    <w:rsid w:val="007362ED"/>
    <w:rsid w:val="007405DE"/>
    <w:rsid w:val="00742D37"/>
    <w:rsid w:val="0074553B"/>
    <w:rsid w:val="00750390"/>
    <w:rsid w:val="00750D8B"/>
    <w:rsid w:val="00751B94"/>
    <w:rsid w:val="00752285"/>
    <w:rsid w:val="00752838"/>
    <w:rsid w:val="007532B8"/>
    <w:rsid w:val="00754608"/>
    <w:rsid w:val="0075639E"/>
    <w:rsid w:val="0076272F"/>
    <w:rsid w:val="0076480A"/>
    <w:rsid w:val="00765826"/>
    <w:rsid w:val="0076672E"/>
    <w:rsid w:val="00770CCA"/>
    <w:rsid w:val="00773262"/>
    <w:rsid w:val="00773356"/>
    <w:rsid w:val="00773BE8"/>
    <w:rsid w:val="00780021"/>
    <w:rsid w:val="00781CC4"/>
    <w:rsid w:val="00786439"/>
    <w:rsid w:val="00786885"/>
    <w:rsid w:val="007869A4"/>
    <w:rsid w:val="0079266D"/>
    <w:rsid w:val="00792C86"/>
    <w:rsid w:val="00794978"/>
    <w:rsid w:val="00795371"/>
    <w:rsid w:val="007956C2"/>
    <w:rsid w:val="00796DC5"/>
    <w:rsid w:val="00797358"/>
    <w:rsid w:val="00797AF5"/>
    <w:rsid w:val="007A0560"/>
    <w:rsid w:val="007A59E7"/>
    <w:rsid w:val="007A710D"/>
    <w:rsid w:val="007B2370"/>
    <w:rsid w:val="007B347B"/>
    <w:rsid w:val="007B47CA"/>
    <w:rsid w:val="007B5B74"/>
    <w:rsid w:val="007C182E"/>
    <w:rsid w:val="007C2296"/>
    <w:rsid w:val="007C3DF5"/>
    <w:rsid w:val="007C4418"/>
    <w:rsid w:val="007D1331"/>
    <w:rsid w:val="007D5AD7"/>
    <w:rsid w:val="007D5FDD"/>
    <w:rsid w:val="007D6121"/>
    <w:rsid w:val="007D61F9"/>
    <w:rsid w:val="007D79FC"/>
    <w:rsid w:val="007E1DCB"/>
    <w:rsid w:val="007E7A08"/>
    <w:rsid w:val="007F6853"/>
    <w:rsid w:val="007F6A08"/>
    <w:rsid w:val="00801C45"/>
    <w:rsid w:val="00802022"/>
    <w:rsid w:val="00804579"/>
    <w:rsid w:val="008071C0"/>
    <w:rsid w:val="0081090D"/>
    <w:rsid w:val="0081357D"/>
    <w:rsid w:val="008169A6"/>
    <w:rsid w:val="00816D8A"/>
    <w:rsid w:val="0082563E"/>
    <w:rsid w:val="008258E7"/>
    <w:rsid w:val="0083044E"/>
    <w:rsid w:val="00831C28"/>
    <w:rsid w:val="00835583"/>
    <w:rsid w:val="00835DFA"/>
    <w:rsid w:val="00836B0A"/>
    <w:rsid w:val="008375CE"/>
    <w:rsid w:val="008417FC"/>
    <w:rsid w:val="00842823"/>
    <w:rsid w:val="00844AC4"/>
    <w:rsid w:val="0084572C"/>
    <w:rsid w:val="00847350"/>
    <w:rsid w:val="00847D62"/>
    <w:rsid w:val="00850E53"/>
    <w:rsid w:val="008514FA"/>
    <w:rsid w:val="00852BF8"/>
    <w:rsid w:val="00853857"/>
    <w:rsid w:val="0085445E"/>
    <w:rsid w:val="00861ED5"/>
    <w:rsid w:val="0086356C"/>
    <w:rsid w:val="00865530"/>
    <w:rsid w:val="00865EAA"/>
    <w:rsid w:val="00867A54"/>
    <w:rsid w:val="00875F63"/>
    <w:rsid w:val="008763F4"/>
    <w:rsid w:val="00881C33"/>
    <w:rsid w:val="008862F9"/>
    <w:rsid w:val="00886E59"/>
    <w:rsid w:val="00886FFB"/>
    <w:rsid w:val="00887421"/>
    <w:rsid w:val="0089080D"/>
    <w:rsid w:val="00895A09"/>
    <w:rsid w:val="008A052B"/>
    <w:rsid w:val="008A0CE8"/>
    <w:rsid w:val="008A164F"/>
    <w:rsid w:val="008A3333"/>
    <w:rsid w:val="008B5E4E"/>
    <w:rsid w:val="008B5FAC"/>
    <w:rsid w:val="008C0130"/>
    <w:rsid w:val="008C3001"/>
    <w:rsid w:val="008C48CA"/>
    <w:rsid w:val="008C5148"/>
    <w:rsid w:val="008D4140"/>
    <w:rsid w:val="008D4141"/>
    <w:rsid w:val="008D56EB"/>
    <w:rsid w:val="008D5D76"/>
    <w:rsid w:val="008D7902"/>
    <w:rsid w:val="008E000E"/>
    <w:rsid w:val="008E008F"/>
    <w:rsid w:val="008E218D"/>
    <w:rsid w:val="008E3E40"/>
    <w:rsid w:val="008E615C"/>
    <w:rsid w:val="008E677F"/>
    <w:rsid w:val="008F1061"/>
    <w:rsid w:val="008F558E"/>
    <w:rsid w:val="008F5A74"/>
    <w:rsid w:val="008F5DBB"/>
    <w:rsid w:val="008F6821"/>
    <w:rsid w:val="009007A1"/>
    <w:rsid w:val="00900ABA"/>
    <w:rsid w:val="00901EAA"/>
    <w:rsid w:val="009043AA"/>
    <w:rsid w:val="00906AC2"/>
    <w:rsid w:val="00907562"/>
    <w:rsid w:val="00911779"/>
    <w:rsid w:val="00912D70"/>
    <w:rsid w:val="00912DF6"/>
    <w:rsid w:val="009143DA"/>
    <w:rsid w:val="009149A7"/>
    <w:rsid w:val="009176AC"/>
    <w:rsid w:val="00920407"/>
    <w:rsid w:val="00921298"/>
    <w:rsid w:val="00924B9A"/>
    <w:rsid w:val="0093104E"/>
    <w:rsid w:val="00932998"/>
    <w:rsid w:val="00933ED0"/>
    <w:rsid w:val="0093584E"/>
    <w:rsid w:val="00936A2A"/>
    <w:rsid w:val="00940B1A"/>
    <w:rsid w:val="009462C1"/>
    <w:rsid w:val="00951248"/>
    <w:rsid w:val="009542F2"/>
    <w:rsid w:val="00954714"/>
    <w:rsid w:val="00960A6B"/>
    <w:rsid w:val="0096143F"/>
    <w:rsid w:val="00971770"/>
    <w:rsid w:val="00975B0D"/>
    <w:rsid w:val="009777ED"/>
    <w:rsid w:val="00980817"/>
    <w:rsid w:val="00981004"/>
    <w:rsid w:val="00983C14"/>
    <w:rsid w:val="0098560D"/>
    <w:rsid w:val="00986A12"/>
    <w:rsid w:val="00987241"/>
    <w:rsid w:val="0099674A"/>
    <w:rsid w:val="00996791"/>
    <w:rsid w:val="0099796D"/>
    <w:rsid w:val="009A261C"/>
    <w:rsid w:val="009A49DA"/>
    <w:rsid w:val="009A65BB"/>
    <w:rsid w:val="009B2C00"/>
    <w:rsid w:val="009B4090"/>
    <w:rsid w:val="009C07FC"/>
    <w:rsid w:val="009C0CAF"/>
    <w:rsid w:val="009C30A6"/>
    <w:rsid w:val="009C4F47"/>
    <w:rsid w:val="009C6A06"/>
    <w:rsid w:val="009D5184"/>
    <w:rsid w:val="009D6CBB"/>
    <w:rsid w:val="009D7135"/>
    <w:rsid w:val="009E014E"/>
    <w:rsid w:val="009E02F6"/>
    <w:rsid w:val="009E10C3"/>
    <w:rsid w:val="009E72E8"/>
    <w:rsid w:val="009F244A"/>
    <w:rsid w:val="009F35BA"/>
    <w:rsid w:val="009F3930"/>
    <w:rsid w:val="009F5F15"/>
    <w:rsid w:val="00A02C57"/>
    <w:rsid w:val="00A045B6"/>
    <w:rsid w:val="00A052BE"/>
    <w:rsid w:val="00A061B5"/>
    <w:rsid w:val="00A06BDE"/>
    <w:rsid w:val="00A107C8"/>
    <w:rsid w:val="00A11177"/>
    <w:rsid w:val="00A11BE9"/>
    <w:rsid w:val="00A132DF"/>
    <w:rsid w:val="00A17113"/>
    <w:rsid w:val="00A1718A"/>
    <w:rsid w:val="00A17439"/>
    <w:rsid w:val="00A20384"/>
    <w:rsid w:val="00A20A93"/>
    <w:rsid w:val="00A228FF"/>
    <w:rsid w:val="00A24287"/>
    <w:rsid w:val="00A269C1"/>
    <w:rsid w:val="00A30617"/>
    <w:rsid w:val="00A315E2"/>
    <w:rsid w:val="00A31A94"/>
    <w:rsid w:val="00A32AE2"/>
    <w:rsid w:val="00A34BA1"/>
    <w:rsid w:val="00A34CCD"/>
    <w:rsid w:val="00A35EAE"/>
    <w:rsid w:val="00A364B6"/>
    <w:rsid w:val="00A37A10"/>
    <w:rsid w:val="00A40D0F"/>
    <w:rsid w:val="00A4147F"/>
    <w:rsid w:val="00A424EC"/>
    <w:rsid w:val="00A47428"/>
    <w:rsid w:val="00A50866"/>
    <w:rsid w:val="00A52BFC"/>
    <w:rsid w:val="00A5436E"/>
    <w:rsid w:val="00A55269"/>
    <w:rsid w:val="00A5539C"/>
    <w:rsid w:val="00A56EFD"/>
    <w:rsid w:val="00A57D8B"/>
    <w:rsid w:val="00A6176D"/>
    <w:rsid w:val="00A6258E"/>
    <w:rsid w:val="00A6368B"/>
    <w:rsid w:val="00A67930"/>
    <w:rsid w:val="00A70110"/>
    <w:rsid w:val="00A70C15"/>
    <w:rsid w:val="00A72A00"/>
    <w:rsid w:val="00A751DE"/>
    <w:rsid w:val="00A7608F"/>
    <w:rsid w:val="00A77162"/>
    <w:rsid w:val="00A77B8A"/>
    <w:rsid w:val="00A8347C"/>
    <w:rsid w:val="00A854A9"/>
    <w:rsid w:val="00A8632D"/>
    <w:rsid w:val="00A9737F"/>
    <w:rsid w:val="00AA18C8"/>
    <w:rsid w:val="00AA1D3C"/>
    <w:rsid w:val="00AA23E2"/>
    <w:rsid w:val="00AA25CA"/>
    <w:rsid w:val="00AA34C7"/>
    <w:rsid w:val="00AA74C6"/>
    <w:rsid w:val="00AA7785"/>
    <w:rsid w:val="00AB51B5"/>
    <w:rsid w:val="00AB71E0"/>
    <w:rsid w:val="00AC2709"/>
    <w:rsid w:val="00AC2D12"/>
    <w:rsid w:val="00AC2F83"/>
    <w:rsid w:val="00AC3604"/>
    <w:rsid w:val="00AC7B1C"/>
    <w:rsid w:val="00AD418E"/>
    <w:rsid w:val="00AD5F38"/>
    <w:rsid w:val="00AE30DD"/>
    <w:rsid w:val="00AE5E9E"/>
    <w:rsid w:val="00AE69A6"/>
    <w:rsid w:val="00AE72DD"/>
    <w:rsid w:val="00AE75A4"/>
    <w:rsid w:val="00AF0632"/>
    <w:rsid w:val="00AF0932"/>
    <w:rsid w:val="00AF0D50"/>
    <w:rsid w:val="00AF182A"/>
    <w:rsid w:val="00AF2C39"/>
    <w:rsid w:val="00AF2ED2"/>
    <w:rsid w:val="00AF331F"/>
    <w:rsid w:val="00AF3E8C"/>
    <w:rsid w:val="00AF71A3"/>
    <w:rsid w:val="00AF7E9B"/>
    <w:rsid w:val="00B00FD4"/>
    <w:rsid w:val="00B010EC"/>
    <w:rsid w:val="00B04D65"/>
    <w:rsid w:val="00B07565"/>
    <w:rsid w:val="00B076EB"/>
    <w:rsid w:val="00B1132A"/>
    <w:rsid w:val="00B16C40"/>
    <w:rsid w:val="00B17E2B"/>
    <w:rsid w:val="00B22023"/>
    <w:rsid w:val="00B23BEF"/>
    <w:rsid w:val="00B242B9"/>
    <w:rsid w:val="00B25576"/>
    <w:rsid w:val="00B256A2"/>
    <w:rsid w:val="00B2694F"/>
    <w:rsid w:val="00B31838"/>
    <w:rsid w:val="00B339C0"/>
    <w:rsid w:val="00B340F3"/>
    <w:rsid w:val="00B348D7"/>
    <w:rsid w:val="00B44164"/>
    <w:rsid w:val="00B5165A"/>
    <w:rsid w:val="00B531F2"/>
    <w:rsid w:val="00B63E41"/>
    <w:rsid w:val="00B65A02"/>
    <w:rsid w:val="00B66238"/>
    <w:rsid w:val="00B710DC"/>
    <w:rsid w:val="00B71E2B"/>
    <w:rsid w:val="00B732AF"/>
    <w:rsid w:val="00B7416D"/>
    <w:rsid w:val="00B74D1A"/>
    <w:rsid w:val="00B759AA"/>
    <w:rsid w:val="00B766BE"/>
    <w:rsid w:val="00B768FA"/>
    <w:rsid w:val="00B76E75"/>
    <w:rsid w:val="00B832B8"/>
    <w:rsid w:val="00B84097"/>
    <w:rsid w:val="00B92CCF"/>
    <w:rsid w:val="00B92D8A"/>
    <w:rsid w:val="00B93D7E"/>
    <w:rsid w:val="00B948C2"/>
    <w:rsid w:val="00B9758F"/>
    <w:rsid w:val="00B97F0C"/>
    <w:rsid w:val="00BA1492"/>
    <w:rsid w:val="00BA3BF1"/>
    <w:rsid w:val="00BB628D"/>
    <w:rsid w:val="00BB6924"/>
    <w:rsid w:val="00BC1A2A"/>
    <w:rsid w:val="00BC1E3F"/>
    <w:rsid w:val="00BC2E19"/>
    <w:rsid w:val="00BC33F4"/>
    <w:rsid w:val="00BC4573"/>
    <w:rsid w:val="00BC63EF"/>
    <w:rsid w:val="00BD3C98"/>
    <w:rsid w:val="00BE5F48"/>
    <w:rsid w:val="00BF6D6E"/>
    <w:rsid w:val="00BF7B93"/>
    <w:rsid w:val="00C1259D"/>
    <w:rsid w:val="00C1288E"/>
    <w:rsid w:val="00C15541"/>
    <w:rsid w:val="00C15F18"/>
    <w:rsid w:val="00C15F3F"/>
    <w:rsid w:val="00C22151"/>
    <w:rsid w:val="00C231CB"/>
    <w:rsid w:val="00C31AF0"/>
    <w:rsid w:val="00C32782"/>
    <w:rsid w:val="00C32E16"/>
    <w:rsid w:val="00C33DB1"/>
    <w:rsid w:val="00C36434"/>
    <w:rsid w:val="00C477F7"/>
    <w:rsid w:val="00C52F10"/>
    <w:rsid w:val="00C54B29"/>
    <w:rsid w:val="00C555FA"/>
    <w:rsid w:val="00C70278"/>
    <w:rsid w:val="00C71489"/>
    <w:rsid w:val="00C7167D"/>
    <w:rsid w:val="00C72184"/>
    <w:rsid w:val="00C757E5"/>
    <w:rsid w:val="00C76D3C"/>
    <w:rsid w:val="00C77AC4"/>
    <w:rsid w:val="00C8225B"/>
    <w:rsid w:val="00C82654"/>
    <w:rsid w:val="00C85C10"/>
    <w:rsid w:val="00C86690"/>
    <w:rsid w:val="00C87116"/>
    <w:rsid w:val="00C87345"/>
    <w:rsid w:val="00C95F81"/>
    <w:rsid w:val="00C96989"/>
    <w:rsid w:val="00CA0890"/>
    <w:rsid w:val="00CA0C4D"/>
    <w:rsid w:val="00CA29B2"/>
    <w:rsid w:val="00CB120C"/>
    <w:rsid w:val="00CB1B2A"/>
    <w:rsid w:val="00CB2897"/>
    <w:rsid w:val="00CB59CF"/>
    <w:rsid w:val="00CB66F5"/>
    <w:rsid w:val="00CB67C0"/>
    <w:rsid w:val="00CC043A"/>
    <w:rsid w:val="00CC0F5B"/>
    <w:rsid w:val="00CC5997"/>
    <w:rsid w:val="00CD03CD"/>
    <w:rsid w:val="00CD3661"/>
    <w:rsid w:val="00CD4C06"/>
    <w:rsid w:val="00CD6C10"/>
    <w:rsid w:val="00CE3C97"/>
    <w:rsid w:val="00CE4DFE"/>
    <w:rsid w:val="00CE7558"/>
    <w:rsid w:val="00CF173C"/>
    <w:rsid w:val="00CF22BA"/>
    <w:rsid w:val="00CF373B"/>
    <w:rsid w:val="00CF5903"/>
    <w:rsid w:val="00CF5DE8"/>
    <w:rsid w:val="00D006C3"/>
    <w:rsid w:val="00D04388"/>
    <w:rsid w:val="00D06694"/>
    <w:rsid w:val="00D1030D"/>
    <w:rsid w:val="00D10CE2"/>
    <w:rsid w:val="00D1138C"/>
    <w:rsid w:val="00D14A70"/>
    <w:rsid w:val="00D1684F"/>
    <w:rsid w:val="00D20839"/>
    <w:rsid w:val="00D20ED7"/>
    <w:rsid w:val="00D25C0C"/>
    <w:rsid w:val="00D27C49"/>
    <w:rsid w:val="00D309DF"/>
    <w:rsid w:val="00D32B2C"/>
    <w:rsid w:val="00D35BBD"/>
    <w:rsid w:val="00D40AEA"/>
    <w:rsid w:val="00D44D6F"/>
    <w:rsid w:val="00D44F26"/>
    <w:rsid w:val="00D46C13"/>
    <w:rsid w:val="00D47991"/>
    <w:rsid w:val="00D557AA"/>
    <w:rsid w:val="00D55B36"/>
    <w:rsid w:val="00D601FE"/>
    <w:rsid w:val="00D60AC1"/>
    <w:rsid w:val="00D61B3A"/>
    <w:rsid w:val="00D630C1"/>
    <w:rsid w:val="00D6484D"/>
    <w:rsid w:val="00D655DC"/>
    <w:rsid w:val="00D674B4"/>
    <w:rsid w:val="00D73136"/>
    <w:rsid w:val="00D73DD4"/>
    <w:rsid w:val="00D75382"/>
    <w:rsid w:val="00D80FB0"/>
    <w:rsid w:val="00D81343"/>
    <w:rsid w:val="00D828A4"/>
    <w:rsid w:val="00D838AA"/>
    <w:rsid w:val="00D83FDA"/>
    <w:rsid w:val="00D86619"/>
    <w:rsid w:val="00D90E1B"/>
    <w:rsid w:val="00D91054"/>
    <w:rsid w:val="00D91F28"/>
    <w:rsid w:val="00D95592"/>
    <w:rsid w:val="00D97587"/>
    <w:rsid w:val="00DA4367"/>
    <w:rsid w:val="00DA4FB6"/>
    <w:rsid w:val="00DB1DD6"/>
    <w:rsid w:val="00DB3131"/>
    <w:rsid w:val="00DB57E8"/>
    <w:rsid w:val="00DB6230"/>
    <w:rsid w:val="00DB67C4"/>
    <w:rsid w:val="00DB75DC"/>
    <w:rsid w:val="00DB7693"/>
    <w:rsid w:val="00DC079D"/>
    <w:rsid w:val="00DC1720"/>
    <w:rsid w:val="00DC23CF"/>
    <w:rsid w:val="00DC2948"/>
    <w:rsid w:val="00DD1E22"/>
    <w:rsid w:val="00DD750C"/>
    <w:rsid w:val="00DE237E"/>
    <w:rsid w:val="00DE244C"/>
    <w:rsid w:val="00DE3FF1"/>
    <w:rsid w:val="00DE6BF1"/>
    <w:rsid w:val="00DF27FB"/>
    <w:rsid w:val="00DF51DE"/>
    <w:rsid w:val="00DF5DF8"/>
    <w:rsid w:val="00DF7093"/>
    <w:rsid w:val="00E000E3"/>
    <w:rsid w:val="00E03A17"/>
    <w:rsid w:val="00E054B9"/>
    <w:rsid w:val="00E07B0B"/>
    <w:rsid w:val="00E1214E"/>
    <w:rsid w:val="00E15628"/>
    <w:rsid w:val="00E16136"/>
    <w:rsid w:val="00E17A64"/>
    <w:rsid w:val="00E20331"/>
    <w:rsid w:val="00E206C9"/>
    <w:rsid w:val="00E20938"/>
    <w:rsid w:val="00E216C6"/>
    <w:rsid w:val="00E22F9D"/>
    <w:rsid w:val="00E2510A"/>
    <w:rsid w:val="00E26BA9"/>
    <w:rsid w:val="00E32AA8"/>
    <w:rsid w:val="00E37C40"/>
    <w:rsid w:val="00E46E42"/>
    <w:rsid w:val="00E52EB0"/>
    <w:rsid w:val="00E55A91"/>
    <w:rsid w:val="00E56564"/>
    <w:rsid w:val="00E6166A"/>
    <w:rsid w:val="00E632BD"/>
    <w:rsid w:val="00E63DD9"/>
    <w:rsid w:val="00E64923"/>
    <w:rsid w:val="00E65E8C"/>
    <w:rsid w:val="00E7103D"/>
    <w:rsid w:val="00E73E59"/>
    <w:rsid w:val="00E7412E"/>
    <w:rsid w:val="00E75DD8"/>
    <w:rsid w:val="00E85163"/>
    <w:rsid w:val="00E9088F"/>
    <w:rsid w:val="00E9557C"/>
    <w:rsid w:val="00EA0F16"/>
    <w:rsid w:val="00EA164B"/>
    <w:rsid w:val="00EA274C"/>
    <w:rsid w:val="00EA31F6"/>
    <w:rsid w:val="00EA382B"/>
    <w:rsid w:val="00EA6F7B"/>
    <w:rsid w:val="00EB1A19"/>
    <w:rsid w:val="00EB1DDE"/>
    <w:rsid w:val="00EB1E8C"/>
    <w:rsid w:val="00EB3BE1"/>
    <w:rsid w:val="00EB41CC"/>
    <w:rsid w:val="00EB5933"/>
    <w:rsid w:val="00EB646E"/>
    <w:rsid w:val="00EB6B3C"/>
    <w:rsid w:val="00EB75A1"/>
    <w:rsid w:val="00EB7BE4"/>
    <w:rsid w:val="00EC0369"/>
    <w:rsid w:val="00EC1D6E"/>
    <w:rsid w:val="00ED0AA0"/>
    <w:rsid w:val="00ED1C36"/>
    <w:rsid w:val="00ED2C76"/>
    <w:rsid w:val="00ED2F89"/>
    <w:rsid w:val="00ED364B"/>
    <w:rsid w:val="00ED5063"/>
    <w:rsid w:val="00ED64D2"/>
    <w:rsid w:val="00ED6745"/>
    <w:rsid w:val="00ED68E5"/>
    <w:rsid w:val="00ED7A62"/>
    <w:rsid w:val="00EE1CAF"/>
    <w:rsid w:val="00EE287D"/>
    <w:rsid w:val="00EE2B8A"/>
    <w:rsid w:val="00EE3E44"/>
    <w:rsid w:val="00EF4E27"/>
    <w:rsid w:val="00EF519C"/>
    <w:rsid w:val="00F00DF2"/>
    <w:rsid w:val="00F00F65"/>
    <w:rsid w:val="00F100DD"/>
    <w:rsid w:val="00F103FF"/>
    <w:rsid w:val="00F113A8"/>
    <w:rsid w:val="00F11900"/>
    <w:rsid w:val="00F122D4"/>
    <w:rsid w:val="00F12C58"/>
    <w:rsid w:val="00F131FD"/>
    <w:rsid w:val="00F15CBA"/>
    <w:rsid w:val="00F25651"/>
    <w:rsid w:val="00F260CF"/>
    <w:rsid w:val="00F26C56"/>
    <w:rsid w:val="00F279DA"/>
    <w:rsid w:val="00F3141A"/>
    <w:rsid w:val="00F33CC2"/>
    <w:rsid w:val="00F34CDD"/>
    <w:rsid w:val="00F36293"/>
    <w:rsid w:val="00F43025"/>
    <w:rsid w:val="00F441F8"/>
    <w:rsid w:val="00F54406"/>
    <w:rsid w:val="00F54CA1"/>
    <w:rsid w:val="00F61E61"/>
    <w:rsid w:val="00F63B0C"/>
    <w:rsid w:val="00F663D0"/>
    <w:rsid w:val="00F715F5"/>
    <w:rsid w:val="00F72A66"/>
    <w:rsid w:val="00F73E39"/>
    <w:rsid w:val="00F742B3"/>
    <w:rsid w:val="00F76881"/>
    <w:rsid w:val="00F81DDF"/>
    <w:rsid w:val="00F8205D"/>
    <w:rsid w:val="00F82EE8"/>
    <w:rsid w:val="00F83B5A"/>
    <w:rsid w:val="00F950EC"/>
    <w:rsid w:val="00FA7162"/>
    <w:rsid w:val="00FA76D1"/>
    <w:rsid w:val="00FB01EC"/>
    <w:rsid w:val="00FB1079"/>
    <w:rsid w:val="00FB5291"/>
    <w:rsid w:val="00FB5433"/>
    <w:rsid w:val="00FC01B6"/>
    <w:rsid w:val="00FC20B3"/>
    <w:rsid w:val="00FC28A2"/>
    <w:rsid w:val="00FC2F31"/>
    <w:rsid w:val="00FD341D"/>
    <w:rsid w:val="00FD3DCA"/>
    <w:rsid w:val="00FE049B"/>
    <w:rsid w:val="00FE37CC"/>
    <w:rsid w:val="00FE6550"/>
    <w:rsid w:val="00FE7291"/>
    <w:rsid w:val="00FF6CEA"/>
    <w:rsid w:val="00FF74DA"/>
    <w:rsid w:val="077DDB72"/>
    <w:rsid w:val="09814E25"/>
    <w:rsid w:val="1562526E"/>
    <w:rsid w:val="2A867D01"/>
    <w:rsid w:val="3A9D52BB"/>
    <w:rsid w:val="3C802F72"/>
    <w:rsid w:val="44A67602"/>
    <w:rsid w:val="4E6A2183"/>
    <w:rsid w:val="521618B3"/>
    <w:rsid w:val="542E7074"/>
    <w:rsid w:val="63F83A4B"/>
    <w:rsid w:val="7E396AA2"/>
    <w:rsid w:val="7F96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D52BB"/>
  <w15:chartTrackingRefBased/>
  <w15:docId w15:val="{EA74877C-F8A5-4C1F-928F-0B0206F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1E"/>
  </w:style>
  <w:style w:type="paragraph" w:styleId="Footer">
    <w:name w:val="footer"/>
    <w:basedOn w:val="Normal"/>
    <w:link w:val="FooterChar"/>
    <w:uiPriority w:val="99"/>
    <w:unhideWhenUsed/>
    <w:rsid w:val="003A7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1E"/>
  </w:style>
  <w:style w:type="paragraph" w:customStyle="1" w:styleId="ThemeLine">
    <w:name w:val="ThemeLine"/>
    <w:basedOn w:val="Footer"/>
    <w:rsid w:val="003A7B1E"/>
    <w:pPr>
      <w:widowControl w:val="0"/>
      <w:tabs>
        <w:tab w:val="clear" w:pos="4680"/>
        <w:tab w:val="clear" w:pos="9360"/>
        <w:tab w:val="center" w:pos="4320"/>
        <w:tab w:val="right" w:pos="8640"/>
      </w:tabs>
      <w:autoSpaceDE w:val="0"/>
      <w:autoSpaceDN w:val="0"/>
      <w:adjustRightInd w:val="0"/>
      <w:spacing w:line="288" w:lineRule="auto"/>
      <w:textAlignment w:val="center"/>
    </w:pPr>
    <w:rPr>
      <w:rFonts w:ascii="Palatino Linotype" w:eastAsia="Times New Roman" w:hAnsi="Palatino Linotype" w:cs="Times New Roman"/>
      <w:i/>
      <w:color w:val="0021A5"/>
      <w:sz w:val="24"/>
      <w:szCs w:val="24"/>
    </w:rPr>
  </w:style>
  <w:style w:type="character" w:customStyle="1" w:styleId="UnitHeading">
    <w:name w:val="Unit Heading"/>
    <w:basedOn w:val="DefaultParagraphFont"/>
    <w:rsid w:val="003A7B1E"/>
    <w:rPr>
      <w:color w:val="0021A5"/>
    </w:rPr>
  </w:style>
  <w:style w:type="paragraph" w:styleId="NoSpacing">
    <w:name w:val="No Spacing"/>
    <w:uiPriority w:val="1"/>
    <w:qFormat/>
    <w:rsid w:val="00111A61"/>
    <w:pPr>
      <w:spacing w:after="0" w:line="240" w:lineRule="auto"/>
    </w:pPr>
  </w:style>
  <w:style w:type="character" w:styleId="CommentReference">
    <w:name w:val="annotation reference"/>
    <w:basedOn w:val="DefaultParagraphFont"/>
    <w:uiPriority w:val="99"/>
    <w:semiHidden/>
    <w:unhideWhenUsed/>
    <w:rsid w:val="000D753E"/>
    <w:rPr>
      <w:sz w:val="16"/>
      <w:szCs w:val="16"/>
    </w:rPr>
  </w:style>
  <w:style w:type="paragraph" w:styleId="CommentText">
    <w:name w:val="annotation text"/>
    <w:basedOn w:val="Normal"/>
    <w:link w:val="CommentTextChar"/>
    <w:uiPriority w:val="99"/>
    <w:unhideWhenUsed/>
    <w:rsid w:val="000D753E"/>
    <w:pPr>
      <w:spacing w:line="240" w:lineRule="auto"/>
    </w:pPr>
    <w:rPr>
      <w:sz w:val="20"/>
      <w:szCs w:val="20"/>
    </w:rPr>
  </w:style>
  <w:style w:type="character" w:customStyle="1" w:styleId="CommentTextChar">
    <w:name w:val="Comment Text Char"/>
    <w:basedOn w:val="DefaultParagraphFont"/>
    <w:link w:val="CommentText"/>
    <w:uiPriority w:val="99"/>
    <w:rsid w:val="000D753E"/>
    <w:rPr>
      <w:sz w:val="20"/>
      <w:szCs w:val="20"/>
    </w:rPr>
  </w:style>
  <w:style w:type="paragraph" w:styleId="CommentSubject">
    <w:name w:val="annotation subject"/>
    <w:basedOn w:val="CommentText"/>
    <w:next w:val="CommentText"/>
    <w:link w:val="CommentSubjectChar"/>
    <w:uiPriority w:val="99"/>
    <w:semiHidden/>
    <w:unhideWhenUsed/>
    <w:rsid w:val="000D753E"/>
    <w:rPr>
      <w:b/>
      <w:bCs/>
    </w:rPr>
  </w:style>
  <w:style w:type="character" w:customStyle="1" w:styleId="CommentSubjectChar">
    <w:name w:val="Comment Subject Char"/>
    <w:basedOn w:val="CommentTextChar"/>
    <w:link w:val="CommentSubject"/>
    <w:uiPriority w:val="99"/>
    <w:semiHidden/>
    <w:rsid w:val="000D753E"/>
    <w:rPr>
      <w:b/>
      <w:bCs/>
      <w:sz w:val="20"/>
      <w:szCs w:val="20"/>
    </w:rPr>
  </w:style>
  <w:style w:type="paragraph" w:styleId="BalloonText">
    <w:name w:val="Balloon Text"/>
    <w:basedOn w:val="Normal"/>
    <w:link w:val="BalloonTextChar"/>
    <w:uiPriority w:val="99"/>
    <w:semiHidden/>
    <w:unhideWhenUsed/>
    <w:rsid w:val="000D7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53E"/>
    <w:rPr>
      <w:rFonts w:ascii="Segoe UI" w:hAnsi="Segoe UI" w:cs="Segoe UI"/>
      <w:sz w:val="18"/>
      <w:szCs w:val="18"/>
    </w:rPr>
  </w:style>
  <w:style w:type="character" w:styleId="Hyperlink">
    <w:name w:val="Hyperlink"/>
    <w:basedOn w:val="DefaultParagraphFont"/>
    <w:uiPriority w:val="99"/>
    <w:unhideWhenUsed/>
    <w:rsid w:val="006D46BB"/>
    <w:rPr>
      <w:color w:val="0000FF"/>
      <w:u w:val="single"/>
    </w:rPr>
  </w:style>
  <w:style w:type="paragraph" w:styleId="ListParagraph">
    <w:name w:val="List Paragraph"/>
    <w:basedOn w:val="Normal"/>
    <w:uiPriority w:val="34"/>
    <w:qFormat/>
    <w:rsid w:val="002E7C43"/>
    <w:pPr>
      <w:ind w:left="720"/>
      <w:contextualSpacing/>
    </w:pPr>
  </w:style>
  <w:style w:type="paragraph" w:styleId="Revision">
    <w:name w:val="Revision"/>
    <w:hidden/>
    <w:uiPriority w:val="99"/>
    <w:semiHidden/>
    <w:rsid w:val="004D6B53"/>
    <w:pPr>
      <w:spacing w:after="0" w:line="240" w:lineRule="auto"/>
    </w:pPr>
  </w:style>
  <w:style w:type="character" w:customStyle="1" w:styleId="UnresolvedMention1">
    <w:name w:val="Unresolved Mention1"/>
    <w:basedOn w:val="DefaultParagraphFont"/>
    <w:uiPriority w:val="99"/>
    <w:semiHidden/>
    <w:unhideWhenUsed/>
    <w:rsid w:val="00A17113"/>
    <w:rPr>
      <w:color w:val="605E5C"/>
      <w:shd w:val="clear" w:color="auto" w:fill="E1DFDD"/>
    </w:rPr>
  </w:style>
  <w:style w:type="character" w:styleId="UnresolvedMention">
    <w:name w:val="Unresolved Mention"/>
    <w:basedOn w:val="DefaultParagraphFont"/>
    <w:uiPriority w:val="99"/>
    <w:unhideWhenUsed/>
    <w:rsid w:val="00C33DB1"/>
    <w:rPr>
      <w:color w:val="605E5C"/>
      <w:shd w:val="clear" w:color="auto" w:fill="E1DFDD"/>
    </w:rPr>
  </w:style>
  <w:style w:type="character" w:styleId="FollowedHyperlink">
    <w:name w:val="FollowedHyperlink"/>
    <w:basedOn w:val="DefaultParagraphFont"/>
    <w:uiPriority w:val="99"/>
    <w:semiHidden/>
    <w:unhideWhenUsed/>
    <w:rsid w:val="004E5EA9"/>
    <w:rPr>
      <w:color w:val="954F72" w:themeColor="followedHyperlink"/>
      <w:u w:val="single"/>
    </w:rPr>
  </w:style>
  <w:style w:type="character" w:styleId="Mention">
    <w:name w:val="Mention"/>
    <w:basedOn w:val="DefaultParagraphFont"/>
    <w:uiPriority w:val="99"/>
    <w:unhideWhenUsed/>
    <w:rsid w:val="00DF51DE"/>
    <w:rPr>
      <w:color w:val="2B579A"/>
      <w:shd w:val="clear" w:color="auto" w:fill="E1DFDD"/>
    </w:rPr>
  </w:style>
  <w:style w:type="paragraph" w:styleId="FootnoteText">
    <w:name w:val="footnote text"/>
    <w:basedOn w:val="Normal"/>
    <w:link w:val="FootnoteTextChar"/>
    <w:uiPriority w:val="99"/>
    <w:semiHidden/>
    <w:unhideWhenUsed/>
    <w:rsid w:val="004F0F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F0E"/>
    <w:rPr>
      <w:sz w:val="20"/>
      <w:szCs w:val="20"/>
    </w:rPr>
  </w:style>
  <w:style w:type="character" w:styleId="FootnoteReference">
    <w:name w:val="footnote reference"/>
    <w:basedOn w:val="DefaultParagraphFont"/>
    <w:uiPriority w:val="99"/>
    <w:semiHidden/>
    <w:unhideWhenUsed/>
    <w:rsid w:val="004F0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1049">
      <w:bodyDiv w:val="1"/>
      <w:marLeft w:val="0"/>
      <w:marRight w:val="0"/>
      <w:marTop w:val="0"/>
      <w:marBottom w:val="0"/>
      <w:divBdr>
        <w:top w:val="none" w:sz="0" w:space="0" w:color="auto"/>
        <w:left w:val="none" w:sz="0" w:space="0" w:color="auto"/>
        <w:bottom w:val="none" w:sz="0" w:space="0" w:color="auto"/>
        <w:right w:val="none" w:sz="0" w:space="0" w:color="auto"/>
      </w:divBdr>
    </w:div>
    <w:div w:id="36634884">
      <w:bodyDiv w:val="1"/>
      <w:marLeft w:val="0"/>
      <w:marRight w:val="0"/>
      <w:marTop w:val="0"/>
      <w:marBottom w:val="0"/>
      <w:divBdr>
        <w:top w:val="none" w:sz="0" w:space="0" w:color="auto"/>
        <w:left w:val="none" w:sz="0" w:space="0" w:color="auto"/>
        <w:bottom w:val="none" w:sz="0" w:space="0" w:color="auto"/>
        <w:right w:val="none" w:sz="0" w:space="0" w:color="auto"/>
      </w:divBdr>
    </w:div>
    <w:div w:id="138350819">
      <w:bodyDiv w:val="1"/>
      <w:marLeft w:val="0"/>
      <w:marRight w:val="0"/>
      <w:marTop w:val="0"/>
      <w:marBottom w:val="0"/>
      <w:divBdr>
        <w:top w:val="none" w:sz="0" w:space="0" w:color="auto"/>
        <w:left w:val="none" w:sz="0" w:space="0" w:color="auto"/>
        <w:bottom w:val="none" w:sz="0" w:space="0" w:color="auto"/>
        <w:right w:val="none" w:sz="0" w:space="0" w:color="auto"/>
      </w:divBdr>
    </w:div>
    <w:div w:id="171264201">
      <w:bodyDiv w:val="1"/>
      <w:marLeft w:val="0"/>
      <w:marRight w:val="0"/>
      <w:marTop w:val="0"/>
      <w:marBottom w:val="0"/>
      <w:divBdr>
        <w:top w:val="none" w:sz="0" w:space="0" w:color="auto"/>
        <w:left w:val="none" w:sz="0" w:space="0" w:color="auto"/>
        <w:bottom w:val="none" w:sz="0" w:space="0" w:color="auto"/>
        <w:right w:val="none" w:sz="0" w:space="0" w:color="auto"/>
      </w:divBdr>
    </w:div>
    <w:div w:id="184826286">
      <w:bodyDiv w:val="1"/>
      <w:marLeft w:val="0"/>
      <w:marRight w:val="0"/>
      <w:marTop w:val="0"/>
      <w:marBottom w:val="0"/>
      <w:divBdr>
        <w:top w:val="none" w:sz="0" w:space="0" w:color="auto"/>
        <w:left w:val="none" w:sz="0" w:space="0" w:color="auto"/>
        <w:bottom w:val="none" w:sz="0" w:space="0" w:color="auto"/>
        <w:right w:val="none" w:sz="0" w:space="0" w:color="auto"/>
      </w:divBdr>
    </w:div>
    <w:div w:id="186260547">
      <w:bodyDiv w:val="1"/>
      <w:marLeft w:val="0"/>
      <w:marRight w:val="0"/>
      <w:marTop w:val="0"/>
      <w:marBottom w:val="0"/>
      <w:divBdr>
        <w:top w:val="none" w:sz="0" w:space="0" w:color="auto"/>
        <w:left w:val="none" w:sz="0" w:space="0" w:color="auto"/>
        <w:bottom w:val="none" w:sz="0" w:space="0" w:color="auto"/>
        <w:right w:val="none" w:sz="0" w:space="0" w:color="auto"/>
      </w:divBdr>
    </w:div>
    <w:div w:id="262105158">
      <w:bodyDiv w:val="1"/>
      <w:marLeft w:val="0"/>
      <w:marRight w:val="0"/>
      <w:marTop w:val="0"/>
      <w:marBottom w:val="0"/>
      <w:divBdr>
        <w:top w:val="none" w:sz="0" w:space="0" w:color="auto"/>
        <w:left w:val="none" w:sz="0" w:space="0" w:color="auto"/>
        <w:bottom w:val="none" w:sz="0" w:space="0" w:color="auto"/>
        <w:right w:val="none" w:sz="0" w:space="0" w:color="auto"/>
      </w:divBdr>
    </w:div>
    <w:div w:id="273945409">
      <w:bodyDiv w:val="1"/>
      <w:marLeft w:val="0"/>
      <w:marRight w:val="0"/>
      <w:marTop w:val="0"/>
      <w:marBottom w:val="0"/>
      <w:divBdr>
        <w:top w:val="none" w:sz="0" w:space="0" w:color="auto"/>
        <w:left w:val="none" w:sz="0" w:space="0" w:color="auto"/>
        <w:bottom w:val="none" w:sz="0" w:space="0" w:color="auto"/>
        <w:right w:val="none" w:sz="0" w:space="0" w:color="auto"/>
      </w:divBdr>
    </w:div>
    <w:div w:id="317735759">
      <w:bodyDiv w:val="1"/>
      <w:marLeft w:val="0"/>
      <w:marRight w:val="0"/>
      <w:marTop w:val="0"/>
      <w:marBottom w:val="0"/>
      <w:divBdr>
        <w:top w:val="none" w:sz="0" w:space="0" w:color="auto"/>
        <w:left w:val="none" w:sz="0" w:space="0" w:color="auto"/>
        <w:bottom w:val="none" w:sz="0" w:space="0" w:color="auto"/>
        <w:right w:val="none" w:sz="0" w:space="0" w:color="auto"/>
      </w:divBdr>
    </w:div>
    <w:div w:id="343285967">
      <w:bodyDiv w:val="1"/>
      <w:marLeft w:val="0"/>
      <w:marRight w:val="0"/>
      <w:marTop w:val="0"/>
      <w:marBottom w:val="0"/>
      <w:divBdr>
        <w:top w:val="none" w:sz="0" w:space="0" w:color="auto"/>
        <w:left w:val="none" w:sz="0" w:space="0" w:color="auto"/>
        <w:bottom w:val="none" w:sz="0" w:space="0" w:color="auto"/>
        <w:right w:val="none" w:sz="0" w:space="0" w:color="auto"/>
      </w:divBdr>
    </w:div>
    <w:div w:id="352926760">
      <w:bodyDiv w:val="1"/>
      <w:marLeft w:val="0"/>
      <w:marRight w:val="0"/>
      <w:marTop w:val="0"/>
      <w:marBottom w:val="0"/>
      <w:divBdr>
        <w:top w:val="none" w:sz="0" w:space="0" w:color="auto"/>
        <w:left w:val="none" w:sz="0" w:space="0" w:color="auto"/>
        <w:bottom w:val="none" w:sz="0" w:space="0" w:color="auto"/>
        <w:right w:val="none" w:sz="0" w:space="0" w:color="auto"/>
      </w:divBdr>
    </w:div>
    <w:div w:id="500895057">
      <w:bodyDiv w:val="1"/>
      <w:marLeft w:val="0"/>
      <w:marRight w:val="0"/>
      <w:marTop w:val="0"/>
      <w:marBottom w:val="0"/>
      <w:divBdr>
        <w:top w:val="none" w:sz="0" w:space="0" w:color="auto"/>
        <w:left w:val="none" w:sz="0" w:space="0" w:color="auto"/>
        <w:bottom w:val="none" w:sz="0" w:space="0" w:color="auto"/>
        <w:right w:val="none" w:sz="0" w:space="0" w:color="auto"/>
      </w:divBdr>
    </w:div>
    <w:div w:id="603225611">
      <w:bodyDiv w:val="1"/>
      <w:marLeft w:val="0"/>
      <w:marRight w:val="0"/>
      <w:marTop w:val="0"/>
      <w:marBottom w:val="0"/>
      <w:divBdr>
        <w:top w:val="none" w:sz="0" w:space="0" w:color="auto"/>
        <w:left w:val="none" w:sz="0" w:space="0" w:color="auto"/>
        <w:bottom w:val="none" w:sz="0" w:space="0" w:color="auto"/>
        <w:right w:val="none" w:sz="0" w:space="0" w:color="auto"/>
      </w:divBdr>
      <w:divsChild>
        <w:div w:id="1816725922">
          <w:marLeft w:val="0"/>
          <w:marRight w:val="0"/>
          <w:marTop w:val="0"/>
          <w:marBottom w:val="0"/>
          <w:divBdr>
            <w:top w:val="none" w:sz="0" w:space="0" w:color="auto"/>
            <w:left w:val="none" w:sz="0" w:space="0" w:color="auto"/>
            <w:bottom w:val="none" w:sz="0" w:space="0" w:color="auto"/>
            <w:right w:val="none" w:sz="0" w:space="0" w:color="auto"/>
          </w:divBdr>
        </w:div>
      </w:divsChild>
    </w:div>
    <w:div w:id="659164493">
      <w:bodyDiv w:val="1"/>
      <w:marLeft w:val="0"/>
      <w:marRight w:val="0"/>
      <w:marTop w:val="0"/>
      <w:marBottom w:val="0"/>
      <w:divBdr>
        <w:top w:val="none" w:sz="0" w:space="0" w:color="auto"/>
        <w:left w:val="none" w:sz="0" w:space="0" w:color="auto"/>
        <w:bottom w:val="none" w:sz="0" w:space="0" w:color="auto"/>
        <w:right w:val="none" w:sz="0" w:space="0" w:color="auto"/>
      </w:divBdr>
    </w:div>
    <w:div w:id="698316587">
      <w:bodyDiv w:val="1"/>
      <w:marLeft w:val="0"/>
      <w:marRight w:val="0"/>
      <w:marTop w:val="0"/>
      <w:marBottom w:val="0"/>
      <w:divBdr>
        <w:top w:val="none" w:sz="0" w:space="0" w:color="auto"/>
        <w:left w:val="none" w:sz="0" w:space="0" w:color="auto"/>
        <w:bottom w:val="none" w:sz="0" w:space="0" w:color="auto"/>
        <w:right w:val="none" w:sz="0" w:space="0" w:color="auto"/>
      </w:divBdr>
    </w:div>
    <w:div w:id="769163257">
      <w:bodyDiv w:val="1"/>
      <w:marLeft w:val="0"/>
      <w:marRight w:val="0"/>
      <w:marTop w:val="0"/>
      <w:marBottom w:val="0"/>
      <w:divBdr>
        <w:top w:val="none" w:sz="0" w:space="0" w:color="auto"/>
        <w:left w:val="none" w:sz="0" w:space="0" w:color="auto"/>
        <w:bottom w:val="none" w:sz="0" w:space="0" w:color="auto"/>
        <w:right w:val="none" w:sz="0" w:space="0" w:color="auto"/>
      </w:divBdr>
    </w:div>
    <w:div w:id="775564446">
      <w:bodyDiv w:val="1"/>
      <w:marLeft w:val="0"/>
      <w:marRight w:val="0"/>
      <w:marTop w:val="0"/>
      <w:marBottom w:val="0"/>
      <w:divBdr>
        <w:top w:val="none" w:sz="0" w:space="0" w:color="auto"/>
        <w:left w:val="none" w:sz="0" w:space="0" w:color="auto"/>
        <w:bottom w:val="none" w:sz="0" w:space="0" w:color="auto"/>
        <w:right w:val="none" w:sz="0" w:space="0" w:color="auto"/>
      </w:divBdr>
    </w:div>
    <w:div w:id="785582369">
      <w:bodyDiv w:val="1"/>
      <w:marLeft w:val="0"/>
      <w:marRight w:val="0"/>
      <w:marTop w:val="0"/>
      <w:marBottom w:val="0"/>
      <w:divBdr>
        <w:top w:val="none" w:sz="0" w:space="0" w:color="auto"/>
        <w:left w:val="none" w:sz="0" w:space="0" w:color="auto"/>
        <w:bottom w:val="none" w:sz="0" w:space="0" w:color="auto"/>
        <w:right w:val="none" w:sz="0" w:space="0" w:color="auto"/>
      </w:divBdr>
    </w:div>
    <w:div w:id="816455852">
      <w:bodyDiv w:val="1"/>
      <w:marLeft w:val="0"/>
      <w:marRight w:val="0"/>
      <w:marTop w:val="0"/>
      <w:marBottom w:val="0"/>
      <w:divBdr>
        <w:top w:val="none" w:sz="0" w:space="0" w:color="auto"/>
        <w:left w:val="none" w:sz="0" w:space="0" w:color="auto"/>
        <w:bottom w:val="none" w:sz="0" w:space="0" w:color="auto"/>
        <w:right w:val="none" w:sz="0" w:space="0" w:color="auto"/>
      </w:divBdr>
    </w:div>
    <w:div w:id="825241744">
      <w:bodyDiv w:val="1"/>
      <w:marLeft w:val="0"/>
      <w:marRight w:val="0"/>
      <w:marTop w:val="0"/>
      <w:marBottom w:val="0"/>
      <w:divBdr>
        <w:top w:val="none" w:sz="0" w:space="0" w:color="auto"/>
        <w:left w:val="none" w:sz="0" w:space="0" w:color="auto"/>
        <w:bottom w:val="none" w:sz="0" w:space="0" w:color="auto"/>
        <w:right w:val="none" w:sz="0" w:space="0" w:color="auto"/>
      </w:divBdr>
    </w:div>
    <w:div w:id="851262078">
      <w:bodyDiv w:val="1"/>
      <w:marLeft w:val="0"/>
      <w:marRight w:val="0"/>
      <w:marTop w:val="0"/>
      <w:marBottom w:val="0"/>
      <w:divBdr>
        <w:top w:val="none" w:sz="0" w:space="0" w:color="auto"/>
        <w:left w:val="none" w:sz="0" w:space="0" w:color="auto"/>
        <w:bottom w:val="none" w:sz="0" w:space="0" w:color="auto"/>
        <w:right w:val="none" w:sz="0" w:space="0" w:color="auto"/>
      </w:divBdr>
    </w:div>
    <w:div w:id="852233394">
      <w:bodyDiv w:val="1"/>
      <w:marLeft w:val="0"/>
      <w:marRight w:val="0"/>
      <w:marTop w:val="0"/>
      <w:marBottom w:val="0"/>
      <w:divBdr>
        <w:top w:val="none" w:sz="0" w:space="0" w:color="auto"/>
        <w:left w:val="none" w:sz="0" w:space="0" w:color="auto"/>
        <w:bottom w:val="none" w:sz="0" w:space="0" w:color="auto"/>
        <w:right w:val="none" w:sz="0" w:space="0" w:color="auto"/>
      </w:divBdr>
    </w:div>
    <w:div w:id="917907016">
      <w:bodyDiv w:val="1"/>
      <w:marLeft w:val="0"/>
      <w:marRight w:val="0"/>
      <w:marTop w:val="0"/>
      <w:marBottom w:val="0"/>
      <w:divBdr>
        <w:top w:val="none" w:sz="0" w:space="0" w:color="auto"/>
        <w:left w:val="none" w:sz="0" w:space="0" w:color="auto"/>
        <w:bottom w:val="none" w:sz="0" w:space="0" w:color="auto"/>
        <w:right w:val="none" w:sz="0" w:space="0" w:color="auto"/>
      </w:divBdr>
    </w:div>
    <w:div w:id="950166082">
      <w:bodyDiv w:val="1"/>
      <w:marLeft w:val="0"/>
      <w:marRight w:val="0"/>
      <w:marTop w:val="0"/>
      <w:marBottom w:val="0"/>
      <w:divBdr>
        <w:top w:val="none" w:sz="0" w:space="0" w:color="auto"/>
        <w:left w:val="none" w:sz="0" w:space="0" w:color="auto"/>
        <w:bottom w:val="none" w:sz="0" w:space="0" w:color="auto"/>
        <w:right w:val="none" w:sz="0" w:space="0" w:color="auto"/>
      </w:divBdr>
    </w:div>
    <w:div w:id="995374318">
      <w:bodyDiv w:val="1"/>
      <w:marLeft w:val="0"/>
      <w:marRight w:val="0"/>
      <w:marTop w:val="0"/>
      <w:marBottom w:val="0"/>
      <w:divBdr>
        <w:top w:val="none" w:sz="0" w:space="0" w:color="auto"/>
        <w:left w:val="none" w:sz="0" w:space="0" w:color="auto"/>
        <w:bottom w:val="none" w:sz="0" w:space="0" w:color="auto"/>
        <w:right w:val="none" w:sz="0" w:space="0" w:color="auto"/>
      </w:divBdr>
    </w:div>
    <w:div w:id="1016035314">
      <w:bodyDiv w:val="1"/>
      <w:marLeft w:val="0"/>
      <w:marRight w:val="0"/>
      <w:marTop w:val="0"/>
      <w:marBottom w:val="0"/>
      <w:divBdr>
        <w:top w:val="none" w:sz="0" w:space="0" w:color="auto"/>
        <w:left w:val="none" w:sz="0" w:space="0" w:color="auto"/>
        <w:bottom w:val="none" w:sz="0" w:space="0" w:color="auto"/>
        <w:right w:val="none" w:sz="0" w:space="0" w:color="auto"/>
      </w:divBdr>
    </w:div>
    <w:div w:id="1059549656">
      <w:bodyDiv w:val="1"/>
      <w:marLeft w:val="0"/>
      <w:marRight w:val="0"/>
      <w:marTop w:val="0"/>
      <w:marBottom w:val="0"/>
      <w:divBdr>
        <w:top w:val="none" w:sz="0" w:space="0" w:color="auto"/>
        <w:left w:val="none" w:sz="0" w:space="0" w:color="auto"/>
        <w:bottom w:val="none" w:sz="0" w:space="0" w:color="auto"/>
        <w:right w:val="none" w:sz="0" w:space="0" w:color="auto"/>
      </w:divBdr>
    </w:div>
    <w:div w:id="1061103342">
      <w:bodyDiv w:val="1"/>
      <w:marLeft w:val="0"/>
      <w:marRight w:val="0"/>
      <w:marTop w:val="0"/>
      <w:marBottom w:val="0"/>
      <w:divBdr>
        <w:top w:val="none" w:sz="0" w:space="0" w:color="auto"/>
        <w:left w:val="none" w:sz="0" w:space="0" w:color="auto"/>
        <w:bottom w:val="none" w:sz="0" w:space="0" w:color="auto"/>
        <w:right w:val="none" w:sz="0" w:space="0" w:color="auto"/>
      </w:divBdr>
    </w:div>
    <w:div w:id="1091193826">
      <w:bodyDiv w:val="1"/>
      <w:marLeft w:val="0"/>
      <w:marRight w:val="0"/>
      <w:marTop w:val="0"/>
      <w:marBottom w:val="0"/>
      <w:divBdr>
        <w:top w:val="none" w:sz="0" w:space="0" w:color="auto"/>
        <w:left w:val="none" w:sz="0" w:space="0" w:color="auto"/>
        <w:bottom w:val="none" w:sz="0" w:space="0" w:color="auto"/>
        <w:right w:val="none" w:sz="0" w:space="0" w:color="auto"/>
      </w:divBdr>
    </w:div>
    <w:div w:id="1111899087">
      <w:bodyDiv w:val="1"/>
      <w:marLeft w:val="0"/>
      <w:marRight w:val="0"/>
      <w:marTop w:val="0"/>
      <w:marBottom w:val="0"/>
      <w:divBdr>
        <w:top w:val="none" w:sz="0" w:space="0" w:color="auto"/>
        <w:left w:val="none" w:sz="0" w:space="0" w:color="auto"/>
        <w:bottom w:val="none" w:sz="0" w:space="0" w:color="auto"/>
        <w:right w:val="none" w:sz="0" w:space="0" w:color="auto"/>
      </w:divBdr>
    </w:div>
    <w:div w:id="1374766455">
      <w:bodyDiv w:val="1"/>
      <w:marLeft w:val="0"/>
      <w:marRight w:val="0"/>
      <w:marTop w:val="0"/>
      <w:marBottom w:val="0"/>
      <w:divBdr>
        <w:top w:val="none" w:sz="0" w:space="0" w:color="auto"/>
        <w:left w:val="none" w:sz="0" w:space="0" w:color="auto"/>
        <w:bottom w:val="none" w:sz="0" w:space="0" w:color="auto"/>
        <w:right w:val="none" w:sz="0" w:space="0" w:color="auto"/>
      </w:divBdr>
    </w:div>
    <w:div w:id="1374842878">
      <w:bodyDiv w:val="1"/>
      <w:marLeft w:val="0"/>
      <w:marRight w:val="0"/>
      <w:marTop w:val="0"/>
      <w:marBottom w:val="0"/>
      <w:divBdr>
        <w:top w:val="none" w:sz="0" w:space="0" w:color="auto"/>
        <w:left w:val="none" w:sz="0" w:space="0" w:color="auto"/>
        <w:bottom w:val="none" w:sz="0" w:space="0" w:color="auto"/>
        <w:right w:val="none" w:sz="0" w:space="0" w:color="auto"/>
      </w:divBdr>
    </w:div>
    <w:div w:id="1432122392">
      <w:bodyDiv w:val="1"/>
      <w:marLeft w:val="0"/>
      <w:marRight w:val="0"/>
      <w:marTop w:val="0"/>
      <w:marBottom w:val="0"/>
      <w:divBdr>
        <w:top w:val="none" w:sz="0" w:space="0" w:color="auto"/>
        <w:left w:val="none" w:sz="0" w:space="0" w:color="auto"/>
        <w:bottom w:val="none" w:sz="0" w:space="0" w:color="auto"/>
        <w:right w:val="none" w:sz="0" w:space="0" w:color="auto"/>
      </w:divBdr>
    </w:div>
    <w:div w:id="1602909960">
      <w:bodyDiv w:val="1"/>
      <w:marLeft w:val="0"/>
      <w:marRight w:val="0"/>
      <w:marTop w:val="0"/>
      <w:marBottom w:val="0"/>
      <w:divBdr>
        <w:top w:val="none" w:sz="0" w:space="0" w:color="auto"/>
        <w:left w:val="none" w:sz="0" w:space="0" w:color="auto"/>
        <w:bottom w:val="none" w:sz="0" w:space="0" w:color="auto"/>
        <w:right w:val="none" w:sz="0" w:space="0" w:color="auto"/>
      </w:divBdr>
    </w:div>
    <w:div w:id="1780485914">
      <w:bodyDiv w:val="1"/>
      <w:marLeft w:val="0"/>
      <w:marRight w:val="0"/>
      <w:marTop w:val="0"/>
      <w:marBottom w:val="0"/>
      <w:divBdr>
        <w:top w:val="none" w:sz="0" w:space="0" w:color="auto"/>
        <w:left w:val="none" w:sz="0" w:space="0" w:color="auto"/>
        <w:bottom w:val="none" w:sz="0" w:space="0" w:color="auto"/>
        <w:right w:val="none" w:sz="0" w:space="0" w:color="auto"/>
      </w:divBdr>
    </w:div>
    <w:div w:id="1802192077">
      <w:bodyDiv w:val="1"/>
      <w:marLeft w:val="0"/>
      <w:marRight w:val="0"/>
      <w:marTop w:val="0"/>
      <w:marBottom w:val="0"/>
      <w:divBdr>
        <w:top w:val="none" w:sz="0" w:space="0" w:color="auto"/>
        <w:left w:val="none" w:sz="0" w:space="0" w:color="auto"/>
        <w:bottom w:val="none" w:sz="0" w:space="0" w:color="auto"/>
        <w:right w:val="none" w:sz="0" w:space="0" w:color="auto"/>
      </w:divBdr>
    </w:div>
    <w:div w:id="1882014008">
      <w:bodyDiv w:val="1"/>
      <w:marLeft w:val="0"/>
      <w:marRight w:val="0"/>
      <w:marTop w:val="0"/>
      <w:marBottom w:val="0"/>
      <w:divBdr>
        <w:top w:val="none" w:sz="0" w:space="0" w:color="auto"/>
        <w:left w:val="none" w:sz="0" w:space="0" w:color="auto"/>
        <w:bottom w:val="none" w:sz="0" w:space="0" w:color="auto"/>
        <w:right w:val="none" w:sz="0" w:space="0" w:color="auto"/>
      </w:divBdr>
    </w:div>
    <w:div w:id="2005861099">
      <w:bodyDiv w:val="1"/>
      <w:marLeft w:val="0"/>
      <w:marRight w:val="0"/>
      <w:marTop w:val="0"/>
      <w:marBottom w:val="0"/>
      <w:divBdr>
        <w:top w:val="none" w:sz="0" w:space="0" w:color="auto"/>
        <w:left w:val="none" w:sz="0" w:space="0" w:color="auto"/>
        <w:bottom w:val="none" w:sz="0" w:space="0" w:color="auto"/>
        <w:right w:val="none" w:sz="0" w:space="0" w:color="auto"/>
      </w:divBdr>
    </w:div>
    <w:div w:id="20980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florida-my.sharepoint.com/personal/arouca_ufl_edu/Documents/OPS%20Live%20Oak/Reports%20for%20Bob/Watermelon%20trials%202020/Watermelon_PutnalFarms_CRF%202020/2020%20Watermelon%20CRF%20vsConv%20Putnal%20Petiole%20Sap%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florida-my.sharepoint.com/personal/arouca_ufl_edu/Documents/OPS%20Live%20Oak/Reports%20for%20Bob/Watermelon%20trials%202020/Watermelon_PutnalFarms_CRF%202020/2020%20Watermelon%20CRF%20vsConv%20Putnal%20Petiole%20Sap%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Figures!$C$3</c:f>
              <c:strCache>
                <c:ptCount val="1"/>
                <c:pt idx="0">
                  <c:v>Conventional Fertilizer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Figures!$B$4:$B$8</c:f>
              <c:numCache>
                <c:formatCode>d\-mmm</c:formatCode>
                <c:ptCount val="5"/>
                <c:pt idx="0">
                  <c:v>43933</c:v>
                </c:pt>
                <c:pt idx="1">
                  <c:v>43947</c:v>
                </c:pt>
                <c:pt idx="2">
                  <c:v>43961</c:v>
                </c:pt>
                <c:pt idx="3">
                  <c:v>43973</c:v>
                </c:pt>
                <c:pt idx="4">
                  <c:v>43986</c:v>
                </c:pt>
              </c:numCache>
            </c:numRef>
          </c:cat>
          <c:val>
            <c:numRef>
              <c:f>Figures!$C$4:$C$8</c:f>
              <c:numCache>
                <c:formatCode>General</c:formatCode>
                <c:ptCount val="5"/>
                <c:pt idx="0">
                  <c:v>1200</c:v>
                </c:pt>
                <c:pt idx="1">
                  <c:v>700</c:v>
                </c:pt>
                <c:pt idx="2">
                  <c:v>390</c:v>
                </c:pt>
                <c:pt idx="3">
                  <c:v>850</c:v>
                </c:pt>
                <c:pt idx="4">
                  <c:v>440</c:v>
                </c:pt>
              </c:numCache>
            </c:numRef>
          </c:val>
          <c:smooth val="0"/>
          <c:extLst>
            <c:ext xmlns:c16="http://schemas.microsoft.com/office/drawing/2014/chart" uri="{C3380CC4-5D6E-409C-BE32-E72D297353CC}">
              <c16:uniqueId val="{00000000-6993-4F55-9106-5BA55D0ED7A9}"/>
            </c:ext>
          </c:extLst>
        </c:ser>
        <c:ser>
          <c:idx val="1"/>
          <c:order val="1"/>
          <c:tx>
            <c:strRef>
              <c:f>Figures!$D$3</c:f>
              <c:strCache>
                <c:ptCount val="1"/>
                <c:pt idx="0">
                  <c:v>CRF</c:v>
                </c:pt>
              </c:strCache>
            </c:strRef>
          </c:tx>
          <c:spPr>
            <a:ln w="28575" cap="rnd">
              <a:solidFill>
                <a:schemeClr val="accent1"/>
              </a:solidFill>
              <a:round/>
            </a:ln>
            <a:effectLst/>
          </c:spPr>
          <c:marker>
            <c:symbol val="circle"/>
            <c:size val="5"/>
            <c:spPr>
              <a:solidFill>
                <a:srgbClr val="0070C0"/>
              </a:solidFill>
              <a:ln w="9525">
                <a:solidFill>
                  <a:srgbClr val="0070C0"/>
                </a:solidFill>
              </a:ln>
              <a:effectLst/>
            </c:spPr>
          </c:marker>
          <c:cat>
            <c:numRef>
              <c:f>Figures!$B$4:$B$8</c:f>
              <c:numCache>
                <c:formatCode>d\-mmm</c:formatCode>
                <c:ptCount val="5"/>
                <c:pt idx="0">
                  <c:v>43933</c:v>
                </c:pt>
                <c:pt idx="1">
                  <c:v>43947</c:v>
                </c:pt>
                <c:pt idx="2">
                  <c:v>43961</c:v>
                </c:pt>
                <c:pt idx="3">
                  <c:v>43973</c:v>
                </c:pt>
                <c:pt idx="4">
                  <c:v>43986</c:v>
                </c:pt>
              </c:numCache>
            </c:numRef>
          </c:cat>
          <c:val>
            <c:numRef>
              <c:f>Figures!$D$4:$D$8</c:f>
              <c:numCache>
                <c:formatCode>General</c:formatCode>
                <c:ptCount val="5"/>
                <c:pt idx="0">
                  <c:v>1200</c:v>
                </c:pt>
                <c:pt idx="1">
                  <c:v>1000</c:v>
                </c:pt>
                <c:pt idx="2">
                  <c:v>300</c:v>
                </c:pt>
                <c:pt idx="3">
                  <c:v>1000</c:v>
                </c:pt>
                <c:pt idx="4">
                  <c:v>800</c:v>
                </c:pt>
              </c:numCache>
            </c:numRef>
          </c:val>
          <c:smooth val="0"/>
          <c:extLst>
            <c:ext xmlns:c16="http://schemas.microsoft.com/office/drawing/2014/chart" uri="{C3380CC4-5D6E-409C-BE32-E72D297353CC}">
              <c16:uniqueId val="{00000001-6993-4F55-9106-5BA55D0ED7A9}"/>
            </c:ext>
          </c:extLst>
        </c:ser>
        <c:dLbls>
          <c:showLegendKey val="0"/>
          <c:showVal val="0"/>
          <c:showCatName val="0"/>
          <c:showSerName val="0"/>
          <c:showPercent val="0"/>
          <c:showBubbleSize val="0"/>
        </c:dLbls>
        <c:marker val="1"/>
        <c:smooth val="0"/>
        <c:axId val="764707696"/>
        <c:axId val="764708024"/>
      </c:lineChart>
      <c:dateAx>
        <c:axId val="764707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64708024"/>
        <c:crosses val="autoZero"/>
        <c:auto val="1"/>
        <c:lblOffset val="100"/>
        <c:baseTimeUnit val="days"/>
      </c:dateAx>
      <c:valAx>
        <c:axId val="764708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Nitrate-N (ppm)</a:t>
                </a:r>
              </a:p>
            </c:rich>
          </c:tx>
          <c:layout>
            <c:manualLayout>
              <c:xMode val="edge"/>
              <c:yMode val="edge"/>
              <c:x val="1.9444444444444445E-2"/>
              <c:y val="0.1820363079615048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6470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Figures!$F$3</c:f>
              <c:strCache>
                <c:ptCount val="1"/>
                <c:pt idx="0">
                  <c:v>Conventional Fertilizer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Figures!$B$4:$B$8</c:f>
              <c:numCache>
                <c:formatCode>d\-mmm</c:formatCode>
                <c:ptCount val="5"/>
                <c:pt idx="0">
                  <c:v>43933</c:v>
                </c:pt>
                <c:pt idx="1">
                  <c:v>43947</c:v>
                </c:pt>
                <c:pt idx="2">
                  <c:v>43961</c:v>
                </c:pt>
                <c:pt idx="3">
                  <c:v>43973</c:v>
                </c:pt>
                <c:pt idx="4">
                  <c:v>43986</c:v>
                </c:pt>
              </c:numCache>
            </c:numRef>
          </c:cat>
          <c:val>
            <c:numRef>
              <c:f>Figures!$F$4:$F$8</c:f>
              <c:numCache>
                <c:formatCode>General</c:formatCode>
                <c:ptCount val="5"/>
                <c:pt idx="0">
                  <c:v>4800</c:v>
                </c:pt>
                <c:pt idx="1">
                  <c:v>4700</c:v>
                </c:pt>
                <c:pt idx="2">
                  <c:v>3800</c:v>
                </c:pt>
                <c:pt idx="3">
                  <c:v>4600</c:v>
                </c:pt>
                <c:pt idx="4">
                  <c:v>4400</c:v>
                </c:pt>
              </c:numCache>
            </c:numRef>
          </c:val>
          <c:smooth val="0"/>
          <c:extLst>
            <c:ext xmlns:c16="http://schemas.microsoft.com/office/drawing/2014/chart" uri="{C3380CC4-5D6E-409C-BE32-E72D297353CC}">
              <c16:uniqueId val="{00000000-ACE9-4021-9F93-0E4484A5563F}"/>
            </c:ext>
          </c:extLst>
        </c:ser>
        <c:ser>
          <c:idx val="4"/>
          <c:order val="1"/>
          <c:tx>
            <c:strRef>
              <c:f>Figures!$G$3</c:f>
              <c:strCache>
                <c:ptCount val="1"/>
                <c:pt idx="0">
                  <c:v>CRF</c:v>
                </c:pt>
              </c:strCache>
            </c:strRef>
          </c:tx>
          <c:spPr>
            <a:ln w="28575" cap="rnd">
              <a:solidFill>
                <a:schemeClr val="accent1"/>
              </a:solidFill>
              <a:round/>
            </a:ln>
            <a:effectLst/>
          </c:spPr>
          <c:marker>
            <c:symbol val="circle"/>
            <c:size val="5"/>
            <c:spPr>
              <a:solidFill>
                <a:srgbClr val="0070C0"/>
              </a:solidFill>
              <a:ln w="9525">
                <a:solidFill>
                  <a:srgbClr val="0070C0"/>
                </a:solidFill>
              </a:ln>
              <a:effectLst/>
            </c:spPr>
          </c:marker>
          <c:cat>
            <c:numRef>
              <c:f>Figures!$B$4:$B$8</c:f>
              <c:numCache>
                <c:formatCode>d\-mmm</c:formatCode>
                <c:ptCount val="5"/>
                <c:pt idx="0">
                  <c:v>43933</c:v>
                </c:pt>
                <c:pt idx="1">
                  <c:v>43947</c:v>
                </c:pt>
                <c:pt idx="2">
                  <c:v>43961</c:v>
                </c:pt>
                <c:pt idx="3">
                  <c:v>43973</c:v>
                </c:pt>
                <c:pt idx="4">
                  <c:v>43986</c:v>
                </c:pt>
              </c:numCache>
            </c:numRef>
          </c:cat>
          <c:val>
            <c:numRef>
              <c:f>Figures!$G$4:$G$8</c:f>
              <c:numCache>
                <c:formatCode>General</c:formatCode>
                <c:ptCount val="5"/>
                <c:pt idx="0">
                  <c:v>4500</c:v>
                </c:pt>
                <c:pt idx="1">
                  <c:v>4800</c:v>
                </c:pt>
                <c:pt idx="2">
                  <c:v>3500</c:v>
                </c:pt>
                <c:pt idx="3">
                  <c:v>3900</c:v>
                </c:pt>
                <c:pt idx="4">
                  <c:v>3900</c:v>
                </c:pt>
              </c:numCache>
            </c:numRef>
          </c:val>
          <c:smooth val="0"/>
          <c:extLst>
            <c:ext xmlns:c16="http://schemas.microsoft.com/office/drawing/2014/chart" uri="{C3380CC4-5D6E-409C-BE32-E72D297353CC}">
              <c16:uniqueId val="{00000001-ACE9-4021-9F93-0E4484A5563F}"/>
            </c:ext>
          </c:extLst>
        </c:ser>
        <c:dLbls>
          <c:showLegendKey val="0"/>
          <c:showVal val="0"/>
          <c:showCatName val="0"/>
          <c:showSerName val="0"/>
          <c:showPercent val="0"/>
          <c:showBubbleSize val="0"/>
        </c:dLbls>
        <c:marker val="1"/>
        <c:smooth val="0"/>
        <c:axId val="764707696"/>
        <c:axId val="764708024"/>
      </c:lineChart>
      <c:dateAx>
        <c:axId val="764707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64708024"/>
        <c:crosses val="autoZero"/>
        <c:auto val="1"/>
        <c:lblOffset val="100"/>
        <c:baseTimeUnit val="days"/>
      </c:dateAx>
      <c:valAx>
        <c:axId val="764708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Potassium (ppm)</a:t>
                </a:r>
              </a:p>
            </c:rich>
          </c:tx>
          <c:layout>
            <c:manualLayout>
              <c:xMode val="edge"/>
              <c:yMode val="edge"/>
              <c:x val="1.6666666666666666E-2"/>
              <c:y val="0.195925196850393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6470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0F4A3D63BA34A988D48329EE8A529" ma:contentTypeVersion="13" ma:contentTypeDescription="Create a new document." ma:contentTypeScope="" ma:versionID="319e5f4f34ba9b8d1ae66348a25e2b77">
  <xsd:schema xmlns:xsd="http://www.w3.org/2001/XMLSchema" xmlns:xs="http://www.w3.org/2001/XMLSchema" xmlns:p="http://schemas.microsoft.com/office/2006/metadata/properties" xmlns:ns3="297900fe-453f-475a-8636-95a3653237c6" xmlns:ns4="ee011857-8bc7-4e2a-8b23-a12fe49b847f" targetNamespace="http://schemas.microsoft.com/office/2006/metadata/properties" ma:root="true" ma:fieldsID="4ea15d2270362f630438afde566d5276" ns3:_="" ns4:_="">
    <xsd:import namespace="297900fe-453f-475a-8636-95a3653237c6"/>
    <xsd:import namespace="ee011857-8bc7-4e2a-8b23-a12fe49b8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900fe-453f-475a-8636-95a3653237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11857-8bc7-4e2a-8b23-a12fe49b8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938D-22AE-43FD-8DCF-52E4A79AF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900fe-453f-475a-8636-95a3653237c6"/>
    <ds:schemaRef ds:uri="ee011857-8bc7-4e2a-8b23-a12fe49b8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C548A6-8FFC-4F10-ABE4-8EC7C733A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41DAF7-BE32-4C19-B0E3-211C1C148FE3}">
  <ds:schemaRefs>
    <ds:schemaRef ds:uri="http://schemas.microsoft.com/sharepoint/v3/contenttype/forms"/>
  </ds:schemaRefs>
</ds:datastoreItem>
</file>

<file path=customXml/itemProps4.xml><?xml version="1.0" encoding="utf-8"?>
<ds:datastoreItem xmlns:ds="http://schemas.openxmlformats.org/officeDocument/2006/customXml" ds:itemID="{25A084D1-A46D-46D1-BEFF-9384CC844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2491</Words>
  <Characters>14203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16661</CharactersWithSpaces>
  <SharedDoc>false</SharedDoc>
  <HLinks>
    <vt:vector size="30" baseType="variant">
      <vt:variant>
        <vt:i4>4587551</vt:i4>
      </vt:variant>
      <vt:variant>
        <vt:i4>12</vt:i4>
      </vt:variant>
      <vt:variant>
        <vt:i4>0</vt:i4>
      </vt:variant>
      <vt:variant>
        <vt:i4>5</vt:i4>
      </vt:variant>
      <vt:variant>
        <vt:lpwstr>https://edis.ifas.ufl.edu/pdffiles/EP/EP08100.pdf</vt:lpwstr>
      </vt:variant>
      <vt:variant>
        <vt:lpwstr/>
      </vt:variant>
      <vt:variant>
        <vt:i4>1376342</vt:i4>
      </vt:variant>
      <vt:variant>
        <vt:i4>9</vt:i4>
      </vt:variant>
      <vt:variant>
        <vt:i4>0</vt:i4>
      </vt:variant>
      <vt:variant>
        <vt:i4>5</vt:i4>
      </vt:variant>
      <vt:variant>
        <vt:lpwstr>http://edis.ifas.ufl.edu/pdffiles/CV/CV10700.pdf</vt:lpwstr>
      </vt:variant>
      <vt:variant>
        <vt:lpwstr/>
      </vt:variant>
      <vt:variant>
        <vt:i4>4653075</vt:i4>
      </vt:variant>
      <vt:variant>
        <vt:i4>6</vt:i4>
      </vt:variant>
      <vt:variant>
        <vt:i4>0</vt:i4>
      </vt:variant>
      <vt:variant>
        <vt:i4>5</vt:i4>
      </vt:variant>
      <vt:variant>
        <vt:lpwstr>https://edis.ifas.ufl.edu/pdffiles/HS/HS17200.pdf</vt:lpwstr>
      </vt:variant>
      <vt:variant>
        <vt:lpwstr/>
      </vt:variant>
      <vt:variant>
        <vt:i4>5046302</vt:i4>
      </vt:variant>
      <vt:variant>
        <vt:i4>3</vt:i4>
      </vt:variant>
      <vt:variant>
        <vt:i4>0</vt:i4>
      </vt:variant>
      <vt:variant>
        <vt:i4>5</vt:i4>
      </vt:variant>
      <vt:variant>
        <vt:lpwstr>https://edis.ifas.ufl.edu/pdffiles/CV/CV23200.pdf</vt:lpwstr>
      </vt:variant>
      <vt:variant>
        <vt:lpwstr/>
      </vt:variant>
      <vt:variant>
        <vt:i4>327746</vt:i4>
      </vt:variant>
      <vt:variant>
        <vt:i4>0</vt:i4>
      </vt:variant>
      <vt:variant>
        <vt:i4>0</vt:i4>
      </vt:variant>
      <vt:variant>
        <vt:i4>5</vt:i4>
      </vt:variant>
      <vt:variant>
        <vt:lpwstr>http://edis.ifas.ufl.edu/pdffiles/SS/SS51600.pdf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Burani-Arouca, Marina</dc:creator>
  <cp:keywords/>
  <dc:description/>
  <cp:lastModifiedBy>Hochmuth,Robert Conway</cp:lastModifiedBy>
  <cp:revision>3</cp:revision>
  <cp:lastPrinted>2019-08-30T15:37:00Z</cp:lastPrinted>
  <dcterms:created xsi:type="dcterms:W3CDTF">2020-09-19T16:51:00Z</dcterms:created>
  <dcterms:modified xsi:type="dcterms:W3CDTF">2020-09-19T16:55:00Z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0x010100F040F4A3D63BA34A988D48329EE8A529</vt:lpwstr>
  </property>
</Properties>
</file>