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FDF35" w14:textId="48ECE4C2" w:rsidR="00431650" w:rsidRDefault="00431650" w:rsidP="00D81BDA">
      <w:pPr>
        <w:rPr>
          <w:b/>
          <w:bCs/>
        </w:rPr>
      </w:pPr>
      <w:r>
        <w:rPr>
          <w:b/>
          <w:bCs/>
        </w:rPr>
        <w:t xml:space="preserve">Welcome to our UF/IFAS Extension Suwannee Valley Watermelon Crop Update. </w:t>
      </w:r>
      <w:r w:rsidR="00686706">
        <w:rPr>
          <w:b/>
          <w:bCs/>
        </w:rPr>
        <w:t>These updates will be s</w:t>
      </w:r>
      <w:r>
        <w:rPr>
          <w:b/>
          <w:bCs/>
        </w:rPr>
        <w:t>ummarized by Bob Hochmuth</w:t>
      </w:r>
      <w:r w:rsidR="00BB7888">
        <w:rPr>
          <w:b/>
          <w:bCs/>
        </w:rPr>
        <w:t>,</w:t>
      </w:r>
      <w:r w:rsidR="00D35260">
        <w:rPr>
          <w:b/>
          <w:bCs/>
        </w:rPr>
        <w:t xml:space="preserve"> Regional Specialized Extension Agent- Vegetable Crops</w:t>
      </w:r>
      <w:r w:rsidR="00BB7888">
        <w:rPr>
          <w:b/>
          <w:bCs/>
        </w:rPr>
        <w:t>,</w:t>
      </w:r>
      <w:r>
        <w:rPr>
          <w:b/>
          <w:bCs/>
        </w:rPr>
        <w:t xml:space="preserve"> with input from Suwannee Valley Extension Agents: Mark Warren</w:t>
      </w:r>
      <w:r w:rsidR="00944BCA">
        <w:rPr>
          <w:b/>
          <w:bCs/>
        </w:rPr>
        <w:t xml:space="preserve"> (Levy)</w:t>
      </w:r>
      <w:r>
        <w:rPr>
          <w:b/>
          <w:bCs/>
        </w:rPr>
        <w:t>, Tyler Pittman</w:t>
      </w:r>
      <w:r w:rsidR="00944BCA">
        <w:rPr>
          <w:b/>
          <w:bCs/>
        </w:rPr>
        <w:t xml:space="preserve"> (Gilchrist)</w:t>
      </w:r>
      <w:r>
        <w:rPr>
          <w:b/>
          <w:bCs/>
        </w:rPr>
        <w:t>, Tatiana Sanchez</w:t>
      </w:r>
      <w:r w:rsidR="00CF0F3D">
        <w:rPr>
          <w:b/>
          <w:bCs/>
        </w:rPr>
        <w:t>-Jones</w:t>
      </w:r>
      <w:r w:rsidR="00944BCA">
        <w:rPr>
          <w:b/>
          <w:bCs/>
        </w:rPr>
        <w:t xml:space="preserve"> (Alachua)</w:t>
      </w:r>
      <w:r>
        <w:rPr>
          <w:b/>
          <w:bCs/>
        </w:rPr>
        <w:t>, Luke Harlow</w:t>
      </w:r>
      <w:r w:rsidR="00944BCA">
        <w:rPr>
          <w:b/>
          <w:bCs/>
        </w:rPr>
        <w:t xml:space="preserve"> (</w:t>
      </w:r>
      <w:r w:rsidR="007F7DD5">
        <w:rPr>
          <w:b/>
          <w:bCs/>
        </w:rPr>
        <w:t>Bradford</w:t>
      </w:r>
      <w:r w:rsidR="00944BCA">
        <w:rPr>
          <w:b/>
          <w:bCs/>
        </w:rPr>
        <w:t>)</w:t>
      </w:r>
      <w:r>
        <w:rPr>
          <w:b/>
          <w:bCs/>
        </w:rPr>
        <w:t>, Dan Fenneman</w:t>
      </w:r>
      <w:r w:rsidR="00944BCA">
        <w:rPr>
          <w:b/>
          <w:bCs/>
        </w:rPr>
        <w:t xml:space="preserve"> (Madison)</w:t>
      </w:r>
      <w:r>
        <w:rPr>
          <w:b/>
          <w:bCs/>
        </w:rPr>
        <w:t>, Keith Wynn</w:t>
      </w:r>
      <w:r w:rsidR="00944BCA">
        <w:rPr>
          <w:b/>
          <w:bCs/>
        </w:rPr>
        <w:t xml:space="preserve"> (Hamilton)</w:t>
      </w:r>
      <w:r>
        <w:rPr>
          <w:b/>
          <w:bCs/>
        </w:rPr>
        <w:t>,</w:t>
      </w:r>
      <w:r w:rsidR="00944BCA">
        <w:rPr>
          <w:b/>
          <w:bCs/>
        </w:rPr>
        <w:t xml:space="preserve"> Emily Beach (Lafayette), </w:t>
      </w:r>
      <w:r w:rsidR="0000082E">
        <w:rPr>
          <w:b/>
          <w:bCs/>
        </w:rPr>
        <w:t>Jim Devalerio (Union)</w:t>
      </w:r>
      <w:r w:rsidR="00643F12">
        <w:rPr>
          <w:b/>
          <w:bCs/>
        </w:rPr>
        <w:t xml:space="preserve">, </w:t>
      </w:r>
      <w:r w:rsidR="00BD7E70">
        <w:rPr>
          <w:b/>
          <w:bCs/>
        </w:rPr>
        <w:t>Ben Hoffner</w:t>
      </w:r>
      <w:r w:rsidR="007106BC">
        <w:rPr>
          <w:b/>
          <w:bCs/>
        </w:rPr>
        <w:t xml:space="preserve"> (Jefferson), </w:t>
      </w:r>
      <w:r w:rsidR="00824C55">
        <w:rPr>
          <w:b/>
          <w:bCs/>
        </w:rPr>
        <w:t>Raymond Bal</w:t>
      </w:r>
      <w:r w:rsidR="00794272">
        <w:rPr>
          <w:b/>
          <w:bCs/>
        </w:rPr>
        <w:t>a</w:t>
      </w:r>
      <w:r w:rsidR="00824C55">
        <w:rPr>
          <w:b/>
          <w:bCs/>
        </w:rPr>
        <w:t>g</w:t>
      </w:r>
      <w:r w:rsidR="00794272">
        <w:rPr>
          <w:b/>
          <w:bCs/>
        </w:rPr>
        <w:t>u</w:t>
      </w:r>
      <w:r w:rsidR="00824C55">
        <w:rPr>
          <w:b/>
          <w:bCs/>
        </w:rPr>
        <w:t>er</w:t>
      </w:r>
      <w:r w:rsidR="00643F12">
        <w:rPr>
          <w:b/>
          <w:bCs/>
        </w:rPr>
        <w:t>(Suwannee)</w:t>
      </w:r>
      <w:r w:rsidR="00D35260">
        <w:rPr>
          <w:b/>
          <w:bCs/>
        </w:rPr>
        <w:t xml:space="preserve">, </w:t>
      </w:r>
      <w:r w:rsidR="00BD7E70">
        <w:rPr>
          <w:b/>
          <w:bCs/>
        </w:rPr>
        <w:t>Derick Conover</w:t>
      </w:r>
      <w:r w:rsidR="004F40F0">
        <w:rPr>
          <w:b/>
          <w:bCs/>
        </w:rPr>
        <w:t xml:space="preserve"> (Columbia) </w:t>
      </w:r>
      <w:r w:rsidR="00A13F36">
        <w:rPr>
          <w:b/>
          <w:bCs/>
        </w:rPr>
        <w:t>Kevin Athearn</w:t>
      </w:r>
      <w:r w:rsidR="00944BCA">
        <w:rPr>
          <w:b/>
          <w:bCs/>
        </w:rPr>
        <w:t xml:space="preserve"> (RSA-Agri- business)</w:t>
      </w:r>
      <w:r w:rsidR="00A13F36">
        <w:rPr>
          <w:b/>
          <w:bCs/>
        </w:rPr>
        <w:t xml:space="preserve">, </w:t>
      </w:r>
      <w:r w:rsidR="00C6184F">
        <w:rPr>
          <w:b/>
          <w:bCs/>
        </w:rPr>
        <w:t>Shivendra Kumar (RSA-Agronomic Crops)</w:t>
      </w:r>
      <w:r w:rsidR="00011607">
        <w:rPr>
          <w:b/>
          <w:bCs/>
        </w:rPr>
        <w:t>,</w:t>
      </w:r>
      <w:r w:rsidR="00A13F36">
        <w:rPr>
          <w:b/>
          <w:bCs/>
        </w:rPr>
        <w:t xml:space="preserve"> </w:t>
      </w:r>
      <w:r w:rsidR="00D258C8">
        <w:rPr>
          <w:b/>
          <w:bCs/>
        </w:rPr>
        <w:t xml:space="preserve">and </w:t>
      </w:r>
      <w:r w:rsidR="00C6184F">
        <w:rPr>
          <w:b/>
          <w:bCs/>
        </w:rPr>
        <w:t>Jay Capasso</w:t>
      </w:r>
      <w:r w:rsidR="00944BCA">
        <w:rPr>
          <w:b/>
          <w:bCs/>
        </w:rPr>
        <w:t xml:space="preserve"> (</w:t>
      </w:r>
      <w:r w:rsidR="003400FC">
        <w:rPr>
          <w:b/>
          <w:bCs/>
        </w:rPr>
        <w:t xml:space="preserve">RSA- </w:t>
      </w:r>
      <w:r w:rsidR="00944BCA">
        <w:rPr>
          <w:b/>
          <w:bCs/>
        </w:rPr>
        <w:t>Water Resources)</w:t>
      </w:r>
      <w:r w:rsidR="00D258C8">
        <w:rPr>
          <w:b/>
          <w:bCs/>
        </w:rPr>
        <w:t>.</w:t>
      </w:r>
      <w:r w:rsidR="00011607">
        <w:rPr>
          <w:b/>
          <w:bCs/>
        </w:rPr>
        <w:t xml:space="preserve"> </w:t>
      </w:r>
    </w:p>
    <w:p w14:paraId="2FE5560D" w14:textId="5FC768F2" w:rsidR="00901B36" w:rsidRDefault="00901B36" w:rsidP="00D81BDA">
      <w:pPr>
        <w:rPr>
          <w:b/>
          <w:bCs/>
        </w:rPr>
      </w:pPr>
      <w:r>
        <w:rPr>
          <w:b/>
          <w:bCs/>
        </w:rPr>
        <w:t>If you know someone who wants to be added to</w:t>
      </w:r>
      <w:r w:rsidR="00327DD3">
        <w:rPr>
          <w:b/>
          <w:bCs/>
        </w:rPr>
        <w:t xml:space="preserve"> this weekly notice, contact your Extension Agent or Mark Warren (352-949-82</w:t>
      </w:r>
      <w:r w:rsidR="00AB02A8">
        <w:rPr>
          <w:b/>
          <w:bCs/>
        </w:rPr>
        <w:t>8</w:t>
      </w:r>
      <w:r w:rsidR="00327DD3">
        <w:rPr>
          <w:b/>
          <w:bCs/>
        </w:rPr>
        <w:t>8) if you want to be added to the</w:t>
      </w:r>
      <w:r>
        <w:rPr>
          <w:b/>
          <w:bCs/>
        </w:rPr>
        <w:t xml:space="preserve"> regional</w:t>
      </w:r>
      <w:r w:rsidR="00327DD3">
        <w:rPr>
          <w:b/>
          <w:bCs/>
        </w:rPr>
        <w:t xml:space="preserve"> watermelon group</w:t>
      </w:r>
      <w:r>
        <w:rPr>
          <w:b/>
          <w:bCs/>
        </w:rPr>
        <w:t xml:space="preserve"> text app</w:t>
      </w:r>
      <w:r w:rsidR="00327DD3">
        <w:rPr>
          <w:b/>
          <w:bCs/>
        </w:rPr>
        <w:t>.</w:t>
      </w:r>
      <w:r>
        <w:rPr>
          <w:b/>
          <w:bCs/>
        </w:rPr>
        <w:t xml:space="preserve"> </w:t>
      </w:r>
    </w:p>
    <w:p w14:paraId="724C5171" w14:textId="77777777" w:rsidR="00AE401E" w:rsidRDefault="00AE401E" w:rsidP="00686706">
      <w:pPr>
        <w:spacing w:after="0"/>
      </w:pPr>
    </w:p>
    <w:p w14:paraId="734199C3" w14:textId="22210FCB" w:rsidR="00D81BDA" w:rsidRDefault="00D81BDA" w:rsidP="00686706">
      <w:pPr>
        <w:spacing w:after="0"/>
        <w:rPr>
          <w:b/>
          <w:bCs/>
        </w:rPr>
      </w:pPr>
      <w:r>
        <w:t xml:space="preserve">We </w:t>
      </w:r>
      <w:r w:rsidR="004A73FF">
        <w:t>will continue this year</w:t>
      </w:r>
      <w:r>
        <w:t xml:space="preserve"> to support</w:t>
      </w:r>
      <w:r w:rsidR="00431650">
        <w:t xml:space="preserve"> our</w:t>
      </w:r>
      <w:r>
        <w:t xml:space="preserve"> watermelon growers with a rapid diagnostics system through</w:t>
      </w:r>
      <w:r w:rsidRPr="00825AE5">
        <w:t xml:space="preserve"> Suwannee Valley </w:t>
      </w:r>
      <w:r>
        <w:t xml:space="preserve">Regional and County </w:t>
      </w:r>
      <w:r w:rsidRPr="00825AE5">
        <w:t>Extension Agents</w:t>
      </w:r>
      <w:r>
        <w:t>. This industry-funded program allows Extension Agents</w:t>
      </w:r>
      <w:r w:rsidRPr="00825AE5">
        <w:t xml:space="preserve"> to submit and pay for watermelon grower</w:t>
      </w:r>
      <w:r w:rsidR="00AB203B">
        <w:t>’s</w:t>
      </w:r>
      <w:r w:rsidRPr="00825AE5">
        <w:t xml:space="preserve"> plant disease and other diagnostic samples. This </w:t>
      </w:r>
      <w:bookmarkStart w:id="0" w:name="_Hlk66995282"/>
      <w:r w:rsidRPr="004A73FF">
        <w:rPr>
          <w:b/>
          <w:bCs/>
        </w:rPr>
        <w:t>SV Rapid Diagnostic Watermelon Program</w:t>
      </w:r>
      <w:r w:rsidRPr="00825AE5">
        <w:t xml:space="preserve"> </w:t>
      </w:r>
      <w:bookmarkEnd w:id="0"/>
      <w:r>
        <w:t>will help</w:t>
      </w:r>
      <w:r w:rsidRPr="00825AE5">
        <w:t xml:space="preserve"> us to get quick</w:t>
      </w:r>
      <w:r w:rsidR="00431650">
        <w:t>er</w:t>
      </w:r>
      <w:r w:rsidRPr="00825AE5">
        <w:t xml:space="preserve"> diagnostic results</w:t>
      </w:r>
      <w:r w:rsidR="00AB203B">
        <w:t xml:space="preserve">, helping to give early alerts to everyone, </w:t>
      </w:r>
      <w:r w:rsidRPr="00825AE5">
        <w:t>and not have to charge the growers directly.</w:t>
      </w:r>
      <w:r>
        <w:t xml:space="preserve"> P</w:t>
      </w:r>
      <w:r w:rsidRPr="00825AE5">
        <w:t>lant disease sample</w:t>
      </w:r>
      <w:r>
        <w:t>s are typically</w:t>
      </w:r>
      <w:r w:rsidRPr="00825AE5">
        <w:t xml:space="preserve"> $40</w:t>
      </w:r>
      <w:r>
        <w:t xml:space="preserve"> and leaf tissue analys</w:t>
      </w:r>
      <w:r w:rsidR="00431650">
        <w:t>e</w:t>
      </w:r>
      <w:r>
        <w:t xml:space="preserve">s </w:t>
      </w:r>
      <w:r w:rsidR="00431650">
        <w:t>are</w:t>
      </w:r>
      <w:r>
        <w:t xml:space="preserve"> typically $20. </w:t>
      </w:r>
      <w:bookmarkStart w:id="1" w:name="_Hlk66996232"/>
      <w:r w:rsidRPr="00D81BDA">
        <w:rPr>
          <w:b/>
          <w:bCs/>
        </w:rPr>
        <w:t xml:space="preserve">We </w:t>
      </w:r>
      <w:bookmarkEnd w:id="1"/>
      <w:r w:rsidR="00B80EF3">
        <w:rPr>
          <w:b/>
          <w:bCs/>
        </w:rPr>
        <w:t>are currently solicit</w:t>
      </w:r>
      <w:r w:rsidR="006B26B7">
        <w:rPr>
          <w:b/>
          <w:bCs/>
        </w:rPr>
        <w:t>ati</w:t>
      </w:r>
      <w:r w:rsidR="004A73FF">
        <w:rPr>
          <w:b/>
          <w:bCs/>
        </w:rPr>
        <w:t>ng</w:t>
      </w:r>
      <w:r w:rsidR="006B26B7">
        <w:rPr>
          <w:b/>
          <w:bCs/>
        </w:rPr>
        <w:t xml:space="preserve"> those</w:t>
      </w:r>
      <w:r w:rsidR="00431650">
        <w:rPr>
          <w:b/>
          <w:bCs/>
        </w:rPr>
        <w:t xml:space="preserve"> i</w:t>
      </w:r>
      <w:r w:rsidR="00E40585">
        <w:rPr>
          <w:b/>
          <w:bCs/>
        </w:rPr>
        <w:t>ndustry reps interested in sponsoring this effort</w:t>
      </w:r>
      <w:r w:rsidR="00B80EF3">
        <w:rPr>
          <w:b/>
          <w:bCs/>
        </w:rPr>
        <w:t>.</w:t>
      </w:r>
      <w:r w:rsidR="00ED0C89">
        <w:rPr>
          <w:b/>
          <w:bCs/>
        </w:rPr>
        <w:t xml:space="preserve"> </w:t>
      </w:r>
      <w:r w:rsidR="006B26B7">
        <w:rPr>
          <w:b/>
          <w:bCs/>
        </w:rPr>
        <w:t>The past</w:t>
      </w:r>
      <w:r w:rsidR="00ED0C89">
        <w:rPr>
          <w:b/>
          <w:bCs/>
        </w:rPr>
        <w:t xml:space="preserve"> year’s </w:t>
      </w:r>
      <w:r w:rsidR="002533A2">
        <w:rPr>
          <w:b/>
          <w:bCs/>
        </w:rPr>
        <w:t>sponsorships</w:t>
      </w:r>
      <w:r w:rsidR="00ED0C89">
        <w:rPr>
          <w:b/>
          <w:bCs/>
        </w:rPr>
        <w:t xml:space="preserve"> have ranged from $200 to $2,000 per company</w:t>
      </w:r>
      <w:r w:rsidR="002533A2">
        <w:rPr>
          <w:b/>
          <w:bCs/>
        </w:rPr>
        <w:t>.</w:t>
      </w:r>
      <w:r w:rsidR="00B80EF3">
        <w:rPr>
          <w:b/>
          <w:bCs/>
        </w:rPr>
        <w:t xml:space="preserve"> </w:t>
      </w:r>
      <w:r w:rsidR="002533A2">
        <w:rPr>
          <w:b/>
          <w:bCs/>
        </w:rPr>
        <w:t xml:space="preserve">Sponsors will be recognized every week beginning </w:t>
      </w:r>
      <w:r w:rsidR="00C37406">
        <w:rPr>
          <w:b/>
          <w:bCs/>
        </w:rPr>
        <w:t>this</w:t>
      </w:r>
      <w:r w:rsidR="002533A2">
        <w:rPr>
          <w:b/>
          <w:bCs/>
        </w:rPr>
        <w:t xml:space="preserve"> week. </w:t>
      </w:r>
      <w:r w:rsidR="00B80EF3">
        <w:rPr>
          <w:b/>
          <w:bCs/>
        </w:rPr>
        <w:t>Those interested</w:t>
      </w:r>
      <w:r w:rsidR="00431650">
        <w:rPr>
          <w:b/>
          <w:bCs/>
        </w:rPr>
        <w:t xml:space="preserve"> </w:t>
      </w:r>
      <w:r w:rsidR="006B26B7">
        <w:rPr>
          <w:b/>
          <w:bCs/>
        </w:rPr>
        <w:t xml:space="preserve">in being added as a </w:t>
      </w:r>
      <w:r w:rsidR="003679EA">
        <w:rPr>
          <w:b/>
          <w:bCs/>
        </w:rPr>
        <w:t xml:space="preserve">sponsor </w:t>
      </w:r>
      <w:r w:rsidR="00431650">
        <w:rPr>
          <w:b/>
          <w:bCs/>
        </w:rPr>
        <w:t>can</w:t>
      </w:r>
      <w:r w:rsidR="00E40585">
        <w:rPr>
          <w:b/>
          <w:bCs/>
        </w:rPr>
        <w:t xml:space="preserve"> contact Bob Hochmuth at </w:t>
      </w:r>
      <w:hyperlink r:id="rId7" w:history="1">
        <w:r w:rsidR="003E6F46" w:rsidRPr="00ED4145">
          <w:rPr>
            <w:rStyle w:val="Hyperlink"/>
            <w:b/>
            <w:bCs/>
          </w:rPr>
          <w:t>bobhoch@ufl.edu</w:t>
        </w:r>
      </w:hyperlink>
      <w:r w:rsidR="003E6F46">
        <w:rPr>
          <w:b/>
          <w:bCs/>
        </w:rPr>
        <w:t xml:space="preserve"> or 386-288-6301.</w:t>
      </w:r>
    </w:p>
    <w:p w14:paraId="3A95ADFE" w14:textId="77777777" w:rsidR="00243E21" w:rsidRDefault="00243E21" w:rsidP="00686706">
      <w:pPr>
        <w:spacing w:after="0"/>
        <w:rPr>
          <w:b/>
          <w:bCs/>
        </w:rPr>
      </w:pPr>
    </w:p>
    <w:p w14:paraId="0CC9B72D" w14:textId="5F896331" w:rsidR="00AE401E" w:rsidRPr="00D81BDA" w:rsidRDefault="00367FE5" w:rsidP="00686706">
      <w:pPr>
        <w:spacing w:after="0"/>
        <w:rPr>
          <w:b/>
          <w:bCs/>
        </w:rPr>
      </w:pPr>
      <w:r w:rsidRPr="00243E21">
        <w:rPr>
          <w:b/>
          <w:bCs/>
          <w:sz w:val="28"/>
          <w:szCs w:val="28"/>
        </w:rPr>
        <w:t>Current 202</w:t>
      </w:r>
      <w:r w:rsidR="004A73FF">
        <w:rPr>
          <w:b/>
          <w:bCs/>
          <w:sz w:val="28"/>
          <w:szCs w:val="28"/>
        </w:rPr>
        <w:t>5</w:t>
      </w:r>
      <w:r w:rsidRPr="00243E21">
        <w:rPr>
          <w:b/>
          <w:bCs/>
          <w:sz w:val="28"/>
          <w:szCs w:val="28"/>
        </w:rPr>
        <w:t xml:space="preserve"> sponsors </w:t>
      </w:r>
      <w:r w:rsidR="00243E21">
        <w:rPr>
          <w:b/>
          <w:bCs/>
          <w:sz w:val="28"/>
          <w:szCs w:val="28"/>
        </w:rPr>
        <w:t xml:space="preserve">of our </w:t>
      </w:r>
      <w:r w:rsidR="0059440B">
        <w:rPr>
          <w:b/>
          <w:bCs/>
          <w:sz w:val="28"/>
          <w:szCs w:val="28"/>
        </w:rPr>
        <w:t xml:space="preserve">Watermelon </w:t>
      </w:r>
      <w:r w:rsidR="00243E21">
        <w:rPr>
          <w:b/>
          <w:bCs/>
          <w:sz w:val="28"/>
          <w:szCs w:val="28"/>
        </w:rPr>
        <w:t>Rapi</w:t>
      </w:r>
      <w:r w:rsidR="0059440B">
        <w:rPr>
          <w:b/>
          <w:bCs/>
          <w:sz w:val="28"/>
          <w:szCs w:val="28"/>
        </w:rPr>
        <w:t xml:space="preserve">d Diagnostics Program </w:t>
      </w:r>
      <w:r w:rsidRPr="00243E21">
        <w:rPr>
          <w:b/>
          <w:bCs/>
          <w:sz w:val="28"/>
          <w:szCs w:val="28"/>
        </w:rPr>
        <w:t>include</w:t>
      </w:r>
      <w:r w:rsidR="00097FE8">
        <w:rPr>
          <w:b/>
          <w:bCs/>
          <w:sz w:val="28"/>
          <w:szCs w:val="28"/>
        </w:rPr>
        <w:t>:</w:t>
      </w:r>
      <w:r w:rsidRPr="00243E21">
        <w:rPr>
          <w:b/>
          <w:bCs/>
          <w:sz w:val="28"/>
          <w:szCs w:val="28"/>
        </w:rPr>
        <w:t xml:space="preserve"> </w:t>
      </w:r>
      <w:r w:rsidR="00097FE8" w:rsidRPr="00097FE8">
        <w:rPr>
          <w:b/>
          <w:bCs/>
          <w:sz w:val="28"/>
          <w:szCs w:val="28"/>
        </w:rPr>
        <w:t>Mayo Ag Services, Gowan USA, Smurfit/WestRock Paper Mulch, Orbia Netafim, Syngenta Crop Protection, Harrell’s Fertilizer</w:t>
      </w:r>
      <w:r w:rsidR="001909B7">
        <w:rPr>
          <w:b/>
          <w:bCs/>
          <w:sz w:val="28"/>
          <w:szCs w:val="28"/>
        </w:rPr>
        <w:t>, TriEst Ag</w:t>
      </w:r>
      <w:r w:rsidR="00B973BD">
        <w:rPr>
          <w:b/>
          <w:bCs/>
          <w:sz w:val="28"/>
          <w:szCs w:val="28"/>
        </w:rPr>
        <w:t>, and Triangle Chemical Company</w:t>
      </w:r>
      <w:r w:rsidR="00097FE8" w:rsidRPr="00097FE8">
        <w:rPr>
          <w:b/>
          <w:bCs/>
          <w:sz w:val="28"/>
          <w:szCs w:val="28"/>
        </w:rPr>
        <w:t>.</w:t>
      </w:r>
      <w:r w:rsidR="00941B5F">
        <w:rPr>
          <w:b/>
          <w:bCs/>
          <w:sz w:val="28"/>
          <w:szCs w:val="28"/>
        </w:rPr>
        <w:t xml:space="preserve"> </w:t>
      </w:r>
      <w:r w:rsidR="0059440B">
        <w:rPr>
          <w:b/>
          <w:bCs/>
          <w:sz w:val="28"/>
          <w:szCs w:val="28"/>
        </w:rPr>
        <w:t>Others are still welcome to join.</w:t>
      </w:r>
    </w:p>
    <w:p w14:paraId="15A4AAEE" w14:textId="77777777" w:rsidR="00031EE2" w:rsidRDefault="00031EE2" w:rsidP="00745523">
      <w:pPr>
        <w:spacing w:after="0"/>
        <w:rPr>
          <w:b/>
          <w:bCs/>
        </w:rPr>
      </w:pPr>
    </w:p>
    <w:p w14:paraId="5389DE8D" w14:textId="77777777" w:rsidR="00745523" w:rsidRPr="00672199" w:rsidRDefault="00B33A32" w:rsidP="00745523">
      <w:pPr>
        <w:rPr>
          <w:rFonts w:eastAsia="Times New Roman"/>
          <w:b/>
          <w:bCs/>
          <w:color w:val="000000"/>
          <w:sz w:val="28"/>
          <w:szCs w:val="28"/>
        </w:rPr>
      </w:pPr>
      <w:r w:rsidRPr="00672199">
        <w:rPr>
          <w:rFonts w:eastAsia="Times New Roman"/>
          <w:b/>
          <w:bCs/>
          <w:color w:val="000000"/>
          <w:sz w:val="28"/>
          <w:szCs w:val="28"/>
        </w:rPr>
        <w:t>Fusarium is back </w:t>
      </w:r>
      <w:r w:rsidR="00FE4398" w:rsidRPr="00672199">
        <w:rPr>
          <w:rFonts w:eastAsia="Times New Roman"/>
          <w:b/>
          <w:bCs/>
          <w:color w:val="000000"/>
          <w:sz w:val="28"/>
          <w:szCs w:val="28"/>
        </w:rPr>
        <w:t>in 2025:</w:t>
      </w:r>
    </w:p>
    <w:p w14:paraId="6AE32DCD" w14:textId="7DB2E861" w:rsidR="00B33A32" w:rsidRDefault="00B33A32" w:rsidP="00745523">
      <w:pPr>
        <w:rPr>
          <w:rFonts w:eastAsia="Times New Roman"/>
          <w:color w:val="000000"/>
        </w:rPr>
      </w:pPr>
      <w:r>
        <w:rPr>
          <w:rFonts w:eastAsia="Times New Roman"/>
          <w:color w:val="000000"/>
        </w:rPr>
        <w:t>The cooler night temperatures we experienced last month created ideal conditions for Fusarium growth. Disease incidence is highest at soil temperatures between 80.6°F and 84.2°F. Just last week, we confirmed Fusarium wilt diagnosis in several fields. Fusarium’s growth in the soil will slow down as temperature increases but plants that are already infected will continue to express symptoms in the upcoming weeks.  </w:t>
      </w:r>
    </w:p>
    <w:p w14:paraId="2860F474" w14:textId="77777777" w:rsidR="00B33A32" w:rsidRDefault="00B33A32" w:rsidP="00745523">
      <w:pPr>
        <w:spacing w:after="0"/>
        <w:rPr>
          <w:rFonts w:eastAsia="Times New Roman"/>
          <w:color w:val="000000"/>
        </w:rPr>
      </w:pPr>
      <w:r>
        <w:rPr>
          <w:rFonts w:eastAsia="Times New Roman"/>
          <w:b/>
          <w:bCs/>
          <w:color w:val="000000"/>
        </w:rPr>
        <w:t>How to recognize it:</w:t>
      </w:r>
      <w:r>
        <w:rPr>
          <w:rFonts w:eastAsia="Times New Roman"/>
          <w:color w:val="000000"/>
        </w:rPr>
        <w:t xml:space="preserve"> Early in the season, it is relatively normal to observe plant mortality. During establishment, wilting may be caused by bad placement of the transplant in relation to the drip tape, physical damage as well as other soilborne pathogens such as Pythium where the roots of the plant are eaten away. We are past the establishment period and as the plants start to vine, you may notice a</w:t>
      </w:r>
      <w:r>
        <w:rPr>
          <w:rFonts w:ascii="Arial" w:eastAsia="Times New Roman" w:hAnsi="Arial" w:cs="Arial"/>
          <w:color w:val="000000"/>
        </w:rPr>
        <w:t> </w:t>
      </w:r>
      <w:r>
        <w:rPr>
          <w:rFonts w:eastAsia="Times New Roman"/>
          <w:color w:val="000000"/>
        </w:rPr>
        <w:t>runner or two</w:t>
      </w:r>
      <w:r>
        <w:rPr>
          <w:rFonts w:ascii="Arial" w:eastAsia="Times New Roman" w:hAnsi="Arial" w:cs="Arial"/>
          <w:color w:val="000000"/>
        </w:rPr>
        <w:t> </w:t>
      </w:r>
      <w:r>
        <w:rPr>
          <w:rFonts w:eastAsia="Times New Roman"/>
          <w:color w:val="000000"/>
        </w:rPr>
        <w:t>starting to wilt,</w:t>
      </w:r>
      <w:r>
        <w:rPr>
          <w:rFonts w:ascii="Arial" w:eastAsia="Times New Roman" w:hAnsi="Arial" w:cs="Arial"/>
          <w:color w:val="000000"/>
        </w:rPr>
        <w:t> </w:t>
      </w:r>
      <w:r>
        <w:rPr>
          <w:rFonts w:eastAsia="Times New Roman"/>
          <w:color w:val="000000"/>
        </w:rPr>
        <w:t>and as the season progresses, the entire plant may succumb to the disease. As the demand for water increases after fruit</w:t>
      </w:r>
      <w:r>
        <w:rPr>
          <w:rFonts w:ascii="Arial" w:eastAsia="Times New Roman" w:hAnsi="Arial" w:cs="Arial"/>
          <w:color w:val="000000"/>
        </w:rPr>
        <w:t> </w:t>
      </w:r>
      <w:proofErr w:type="gramStart"/>
      <w:r>
        <w:rPr>
          <w:rFonts w:eastAsia="Times New Roman"/>
          <w:color w:val="000000"/>
        </w:rPr>
        <w:t>set</w:t>
      </w:r>
      <w:proofErr w:type="gramEnd"/>
      <w:r>
        <w:rPr>
          <w:rFonts w:eastAsia="Times New Roman"/>
          <w:color w:val="000000"/>
        </w:rPr>
        <w:t>, you will notice more plants</w:t>
      </w:r>
      <w:r>
        <w:rPr>
          <w:rFonts w:ascii="Arial" w:eastAsia="Times New Roman" w:hAnsi="Arial" w:cs="Arial"/>
          <w:color w:val="000000"/>
        </w:rPr>
        <w:t> </w:t>
      </w:r>
      <w:r>
        <w:rPr>
          <w:rFonts w:eastAsia="Times New Roman"/>
          <w:color w:val="000000"/>
        </w:rPr>
        <w:t>exhibiting</w:t>
      </w:r>
      <w:r>
        <w:rPr>
          <w:rFonts w:ascii="Arial" w:eastAsia="Times New Roman" w:hAnsi="Arial" w:cs="Arial"/>
          <w:color w:val="000000"/>
        </w:rPr>
        <w:t> </w:t>
      </w:r>
      <w:r>
        <w:rPr>
          <w:rFonts w:eastAsia="Times New Roman"/>
          <w:color w:val="000000"/>
        </w:rPr>
        <w:t>symptoms</w:t>
      </w:r>
      <w:r>
        <w:rPr>
          <w:rFonts w:ascii="Arial" w:eastAsia="Times New Roman" w:hAnsi="Arial" w:cs="Arial"/>
          <w:color w:val="000000"/>
        </w:rPr>
        <w:t> </w:t>
      </w:r>
      <w:r>
        <w:rPr>
          <w:rFonts w:eastAsia="Times New Roman"/>
          <w:color w:val="000000"/>
        </w:rPr>
        <w:t>resulting from the clogging of the vascular system responsible for transporting water. If you notice plants with low vigor, wilting during the hottest parts of the day and with a grayish-green appearance (Picture A), you can test in the field. Sample plants that</w:t>
      </w:r>
      <w:r>
        <w:rPr>
          <w:rFonts w:ascii="Arial" w:eastAsia="Times New Roman" w:hAnsi="Arial" w:cs="Arial"/>
          <w:color w:val="000000"/>
        </w:rPr>
        <w:t> </w:t>
      </w:r>
      <w:r>
        <w:rPr>
          <w:rFonts w:eastAsia="Times New Roman"/>
          <w:color w:val="000000"/>
        </w:rPr>
        <w:t>exhibit</w:t>
      </w:r>
      <w:r>
        <w:rPr>
          <w:rFonts w:ascii="Arial" w:eastAsia="Times New Roman" w:hAnsi="Arial" w:cs="Arial"/>
          <w:color w:val="000000"/>
        </w:rPr>
        <w:t> </w:t>
      </w:r>
      <w:r>
        <w:rPr>
          <w:rFonts w:eastAsia="Times New Roman"/>
          <w:color w:val="000000"/>
        </w:rPr>
        <w:t>these symptoms</w:t>
      </w:r>
      <w:r>
        <w:rPr>
          <w:rFonts w:ascii="Arial" w:eastAsia="Times New Roman" w:hAnsi="Arial" w:cs="Arial"/>
          <w:color w:val="000000"/>
        </w:rPr>
        <w:t> </w:t>
      </w:r>
      <w:r>
        <w:rPr>
          <w:rFonts w:eastAsia="Times New Roman"/>
          <w:color w:val="000000"/>
        </w:rPr>
        <w:t>but that have the crown area intact</w:t>
      </w:r>
      <w:r>
        <w:rPr>
          <w:rFonts w:ascii="Arial" w:eastAsia="Times New Roman" w:hAnsi="Arial" w:cs="Arial"/>
          <w:color w:val="000000"/>
        </w:rPr>
        <w:t> </w:t>
      </w:r>
      <w:r>
        <w:rPr>
          <w:rFonts w:eastAsia="Times New Roman"/>
          <w:color w:val="000000"/>
        </w:rPr>
        <w:t xml:space="preserve">(the area around the soil line that separates roots from </w:t>
      </w:r>
      <w:r>
        <w:rPr>
          <w:rFonts w:eastAsia="Times New Roman"/>
          <w:color w:val="000000"/>
        </w:rPr>
        <w:lastRenderedPageBreak/>
        <w:t>above-ground growth). Avoid vines that have rolled in circles with the wind or stems cracked or affected by ants. Once you sample, cut downward</w:t>
      </w:r>
      <w:r>
        <w:rPr>
          <w:rFonts w:ascii="Arial" w:eastAsia="Times New Roman" w:hAnsi="Arial" w:cs="Arial"/>
          <w:color w:val="000000"/>
        </w:rPr>
        <w:t> </w:t>
      </w:r>
      <w:r>
        <w:rPr>
          <w:rFonts w:eastAsia="Times New Roman"/>
          <w:color w:val="000000"/>
        </w:rPr>
        <w:t>through the</w:t>
      </w:r>
      <w:r>
        <w:rPr>
          <w:rFonts w:ascii="Arial" w:eastAsia="Times New Roman" w:hAnsi="Arial" w:cs="Arial"/>
          <w:color w:val="000000"/>
        </w:rPr>
        <w:t> </w:t>
      </w:r>
      <w:r>
        <w:rPr>
          <w:rFonts w:eastAsia="Times New Roman"/>
          <w:color w:val="000000"/>
        </w:rPr>
        <w:t>middle of the</w:t>
      </w:r>
      <w:r>
        <w:rPr>
          <w:rFonts w:ascii="Arial" w:eastAsia="Times New Roman" w:hAnsi="Arial" w:cs="Arial"/>
          <w:color w:val="000000"/>
        </w:rPr>
        <w:t> </w:t>
      </w:r>
      <w:r>
        <w:rPr>
          <w:rFonts w:eastAsia="Times New Roman"/>
          <w:color w:val="000000"/>
        </w:rPr>
        <w:t>crown</w:t>
      </w:r>
      <w:r>
        <w:rPr>
          <w:rFonts w:ascii="Arial" w:eastAsia="Times New Roman" w:hAnsi="Arial" w:cs="Arial"/>
          <w:color w:val="000000"/>
        </w:rPr>
        <w:t> </w:t>
      </w:r>
      <w:r>
        <w:rPr>
          <w:rFonts w:eastAsia="Times New Roman"/>
          <w:color w:val="000000"/>
        </w:rPr>
        <w:t>and inspect the color of the vascular system (Picture B). If the plant is infected, you will notice discoloration along the vascular vessels, if healthy, it will look whitish.</w:t>
      </w:r>
      <w:r>
        <w:rPr>
          <w:rFonts w:ascii="Arial" w:eastAsia="Times New Roman" w:hAnsi="Arial" w:cs="Arial"/>
          <w:color w:val="000000"/>
        </w:rPr>
        <w:t> </w:t>
      </w:r>
      <w:r>
        <w:rPr>
          <w:rFonts w:eastAsia="Times New Roman"/>
          <w:color w:val="000000"/>
        </w:rPr>
        <w:t> </w:t>
      </w:r>
    </w:p>
    <w:p w14:paraId="0F9D5A68" w14:textId="6375F816" w:rsidR="00B33A32" w:rsidRDefault="00B33A32" w:rsidP="00745523">
      <w:pPr>
        <w:spacing w:after="0"/>
        <w:rPr>
          <w:rFonts w:eastAsia="Times New Roman"/>
          <w:color w:val="000000"/>
        </w:rPr>
      </w:pPr>
      <w:r>
        <w:rPr>
          <w:rFonts w:eastAsia="Times New Roman"/>
          <w:b/>
          <w:bCs/>
          <w:color w:val="000000"/>
        </w:rPr>
        <w:t>Management</w:t>
      </w:r>
      <w:r>
        <w:rPr>
          <w:rFonts w:eastAsia="Times New Roman"/>
          <w:color w:val="000000"/>
        </w:rPr>
        <w:t xml:space="preserve">: </w:t>
      </w:r>
      <w:r w:rsidR="00DE4570">
        <w:rPr>
          <w:rFonts w:eastAsia="Times New Roman"/>
          <w:color w:val="000000"/>
        </w:rPr>
        <w:t>In research trials, t</w:t>
      </w:r>
      <w:r>
        <w:rPr>
          <w:rFonts w:eastAsia="Times New Roman"/>
          <w:color w:val="000000"/>
        </w:rPr>
        <w:t xml:space="preserve">here are two active ingredients </w:t>
      </w:r>
      <w:r w:rsidR="009555F2">
        <w:rPr>
          <w:rFonts w:eastAsia="Times New Roman"/>
          <w:color w:val="000000"/>
        </w:rPr>
        <w:t xml:space="preserve">that demonstrate the most </w:t>
      </w:r>
      <w:r>
        <w:rPr>
          <w:rFonts w:eastAsia="Times New Roman"/>
          <w:color w:val="000000"/>
        </w:rPr>
        <w:t>effective</w:t>
      </w:r>
      <w:r w:rsidR="00DE4570">
        <w:rPr>
          <w:rFonts w:eastAsia="Times New Roman"/>
          <w:color w:val="000000"/>
        </w:rPr>
        <w:t>ness</w:t>
      </w:r>
      <w:r>
        <w:rPr>
          <w:rFonts w:eastAsia="Times New Roman"/>
          <w:color w:val="000000"/>
        </w:rPr>
        <w:t xml:space="preserve"> against Fusarium: </w:t>
      </w:r>
      <w:proofErr w:type="spellStart"/>
      <w:r>
        <w:rPr>
          <w:rFonts w:eastAsia="Times New Roman"/>
          <w:color w:val="000000"/>
        </w:rPr>
        <w:t>Prothioconazole</w:t>
      </w:r>
      <w:proofErr w:type="spellEnd"/>
      <w:r>
        <w:rPr>
          <w:rFonts w:eastAsia="Times New Roman"/>
          <w:color w:val="000000"/>
        </w:rPr>
        <w:t xml:space="preserve"> and </w:t>
      </w:r>
      <w:proofErr w:type="spellStart"/>
      <w:r>
        <w:rPr>
          <w:rFonts w:eastAsia="Times New Roman"/>
          <w:color w:val="000000"/>
        </w:rPr>
        <w:t>Pydiflumetofen</w:t>
      </w:r>
      <w:proofErr w:type="spellEnd"/>
      <w:r>
        <w:rPr>
          <w:rFonts w:eastAsia="Times New Roman"/>
          <w:color w:val="000000"/>
        </w:rPr>
        <w:t xml:space="preserve"> (found in Proline and Miravis). The most critical time to apply these fungicides is at transplanting and during the first two weeks of establishment. At this stage of the season, infection has already occurred, so we do not recommend further fungicide applications for Fusarium wilt, as they may not provide additional control. If you suspect Fusarium wilt and want confirmation, contact your local agent to submit a sample. For more information, refer to page 33 of the Watermelon Field Guide. </w:t>
      </w:r>
      <w:r w:rsidR="00283F00">
        <w:rPr>
          <w:rFonts w:eastAsia="Times New Roman"/>
          <w:color w:val="000000"/>
        </w:rPr>
        <w:t>(Tatiana Sanchez-Jones)</w:t>
      </w:r>
    </w:p>
    <w:p w14:paraId="26D1B67D" w14:textId="77777777" w:rsidR="00A70E84" w:rsidRDefault="00A70E84" w:rsidP="00745523">
      <w:pPr>
        <w:spacing w:after="0"/>
        <w:rPr>
          <w:rFonts w:eastAsia="Times New Roman"/>
          <w:color w:val="000000"/>
        </w:rPr>
      </w:pPr>
    </w:p>
    <w:p w14:paraId="1E3BCD48" w14:textId="55128D17" w:rsidR="00A70E84" w:rsidRDefault="00A70E84" w:rsidP="00745523">
      <w:pPr>
        <w:spacing w:after="0"/>
        <w:rPr>
          <w:b/>
          <w:bCs/>
        </w:rPr>
      </w:pPr>
      <w:r>
        <w:rPr>
          <w:noProof/>
        </w:rPr>
        <w:drawing>
          <wp:inline distT="0" distB="0" distL="0" distR="0" wp14:anchorId="06C19803" wp14:editId="0D19F420">
            <wp:extent cx="5943600" cy="2740025"/>
            <wp:effectExtent l="0" t="0" r="0" b="3175"/>
            <wp:docPr id="150211328" name="Picture 1"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1328" name="Picture 1" descr="A close-up of a plan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740025"/>
                    </a:xfrm>
                    <a:prstGeom prst="rect">
                      <a:avLst/>
                    </a:prstGeom>
                    <a:noFill/>
                    <a:ln>
                      <a:noFill/>
                    </a:ln>
                  </pic:spPr>
                </pic:pic>
              </a:graphicData>
            </a:graphic>
          </wp:inline>
        </w:drawing>
      </w:r>
    </w:p>
    <w:p w14:paraId="3C9274BE" w14:textId="77777777" w:rsidR="00B33A32" w:rsidRDefault="00B33A32" w:rsidP="006856AE">
      <w:pPr>
        <w:spacing w:after="0"/>
        <w:rPr>
          <w:b/>
          <w:bCs/>
        </w:rPr>
      </w:pPr>
    </w:p>
    <w:p w14:paraId="38C588B2" w14:textId="77777777" w:rsidR="00A70E84" w:rsidRDefault="00A70E84" w:rsidP="006856AE">
      <w:pPr>
        <w:spacing w:after="0"/>
        <w:rPr>
          <w:b/>
          <w:bCs/>
        </w:rPr>
      </w:pPr>
    </w:p>
    <w:p w14:paraId="2161AA30" w14:textId="37D5C78E" w:rsidR="00652972" w:rsidRPr="00652972" w:rsidRDefault="00652972" w:rsidP="00652972">
      <w:pPr>
        <w:spacing w:before="100" w:beforeAutospacing="1" w:after="100" w:afterAutospacing="1" w:line="240" w:lineRule="auto"/>
        <w:rPr>
          <w:rFonts w:eastAsia="Times New Roman" w:cstheme="minorHAnsi"/>
          <w:b/>
          <w:bCs/>
          <w:sz w:val="28"/>
          <w:szCs w:val="28"/>
        </w:rPr>
      </w:pPr>
      <w:r w:rsidRPr="00652972">
        <w:rPr>
          <w:rFonts w:eastAsia="Times New Roman" w:cstheme="minorHAnsi"/>
          <w:b/>
          <w:bCs/>
          <w:sz w:val="28"/>
          <w:szCs w:val="28"/>
        </w:rPr>
        <w:t>Calibrating Wick/Wiper Applicators for Nutsedge Control</w:t>
      </w:r>
      <w:r w:rsidRPr="00672199">
        <w:rPr>
          <w:rFonts w:eastAsia="Times New Roman" w:cstheme="minorHAnsi"/>
          <w:b/>
          <w:bCs/>
          <w:sz w:val="28"/>
          <w:szCs w:val="28"/>
        </w:rPr>
        <w:t>:</w:t>
      </w:r>
    </w:p>
    <w:p w14:paraId="0C94839F" w14:textId="384A3471" w:rsidR="00652972" w:rsidRPr="00652972" w:rsidRDefault="00652972" w:rsidP="00652972">
      <w:pPr>
        <w:spacing w:before="100" w:beforeAutospacing="1" w:after="100" w:afterAutospacing="1" w:line="240" w:lineRule="auto"/>
        <w:rPr>
          <w:rFonts w:eastAsia="Times New Roman" w:cstheme="minorHAnsi"/>
        </w:rPr>
      </w:pPr>
      <w:r w:rsidRPr="00652972">
        <w:rPr>
          <w:rFonts w:eastAsia="Times New Roman" w:cstheme="minorHAnsi"/>
        </w:rPr>
        <w:t>Research in Florida shows that 25 yellow nutsedge plants per square meter (2.3 plants per square foot) in watermelon beds can reduce yield by 98%. Just six plants per square meter (0.56 plants per square foot) can cause a 20% yield loss (Stall, 1999).</w:t>
      </w:r>
      <w:r>
        <w:rPr>
          <w:rFonts w:eastAsia="Times New Roman" w:cstheme="minorHAnsi"/>
        </w:rPr>
        <w:t xml:space="preserve"> </w:t>
      </w:r>
      <w:r w:rsidRPr="00652972">
        <w:rPr>
          <w:rFonts w:eastAsia="Times New Roman" w:cstheme="minorHAnsi"/>
        </w:rPr>
        <w:t xml:space="preserve">If nutsedge is an issue in your watermelon fields, now is the time to treat. Sandea, containing the active ingredient </w:t>
      </w:r>
      <w:proofErr w:type="spellStart"/>
      <w:r w:rsidRPr="00652972">
        <w:rPr>
          <w:rFonts w:eastAsia="Times New Roman" w:cstheme="minorHAnsi"/>
        </w:rPr>
        <w:t>halosulfuron</w:t>
      </w:r>
      <w:proofErr w:type="spellEnd"/>
      <w:r w:rsidRPr="00652972">
        <w:rPr>
          <w:rFonts w:eastAsia="Times New Roman" w:cstheme="minorHAnsi"/>
        </w:rPr>
        <w:t>, is labeled for use in transplanted watermelons grown on mulch with a wick wiper applicator ("hockey stick"). Always check the label to ensure the method is approved as some labels don’t list this application method.</w:t>
      </w:r>
    </w:p>
    <w:p w14:paraId="388A238F" w14:textId="77777777" w:rsidR="00652972" w:rsidRPr="00652972" w:rsidRDefault="00652972" w:rsidP="00652972">
      <w:pPr>
        <w:spacing w:before="100" w:beforeAutospacing="1" w:after="100" w:afterAutospacing="1" w:line="240" w:lineRule="auto"/>
        <w:outlineLvl w:val="2"/>
        <w:rPr>
          <w:rFonts w:eastAsia="Times New Roman" w:cstheme="minorHAnsi"/>
        </w:rPr>
      </w:pPr>
      <w:r w:rsidRPr="00652972">
        <w:rPr>
          <w:rFonts w:eastAsia="Times New Roman" w:cstheme="minorHAnsi"/>
        </w:rPr>
        <w:t>Calibration: How Much Solution and Product?</w:t>
      </w:r>
    </w:p>
    <w:p w14:paraId="2682F2A7" w14:textId="77777777" w:rsidR="00652972" w:rsidRPr="00652972" w:rsidRDefault="00652972" w:rsidP="00652972">
      <w:pPr>
        <w:spacing w:before="100" w:beforeAutospacing="1" w:after="100" w:afterAutospacing="1" w:line="240" w:lineRule="auto"/>
        <w:rPr>
          <w:rFonts w:eastAsia="Times New Roman" w:cstheme="minorHAnsi"/>
        </w:rPr>
      </w:pPr>
      <w:r w:rsidRPr="00652972">
        <w:rPr>
          <w:rFonts w:eastAsia="Times New Roman" w:cstheme="minorHAnsi"/>
        </w:rPr>
        <w:t xml:space="preserve">The Sandea label recommends mixing 1/4 to 1 ounce of product per gallon of water </w:t>
      </w:r>
      <w:r w:rsidRPr="00652972">
        <w:rPr>
          <w:rFonts w:eastAsia="Times New Roman" w:cstheme="minorHAnsi"/>
          <w:b/>
          <w:bCs/>
          <w:u w:val="single"/>
        </w:rPr>
        <w:t>for spot treatments</w:t>
      </w:r>
      <w:r w:rsidRPr="00652972">
        <w:rPr>
          <w:rFonts w:eastAsia="Times New Roman" w:cstheme="minorHAnsi"/>
        </w:rPr>
        <w:t xml:space="preserve"> when using this method of application. Tests and grower feedback show that treating 1 acre of bed top requires 4 to 6 gallons of solution, averaging 5 gallons per acre (GPA).</w:t>
      </w:r>
    </w:p>
    <w:p w14:paraId="08A3B202" w14:textId="77777777" w:rsidR="00652972" w:rsidRPr="00652972" w:rsidRDefault="00652972" w:rsidP="00652972">
      <w:pPr>
        <w:spacing w:before="100" w:beforeAutospacing="1" w:after="100" w:afterAutospacing="1" w:line="240" w:lineRule="auto"/>
        <w:rPr>
          <w:rFonts w:eastAsia="Times New Roman" w:cstheme="minorHAnsi"/>
          <w:u w:val="single"/>
        </w:rPr>
      </w:pPr>
      <w:r w:rsidRPr="00652972">
        <w:rPr>
          <w:rFonts w:eastAsia="Times New Roman" w:cstheme="minorHAnsi"/>
        </w:rPr>
        <w:lastRenderedPageBreak/>
        <w:t xml:space="preserve">With 5 GPA and the label rate of 1/4 to 1 ounce of Sandea per gallon, the total product would range from 1.25 to 5 ounces per acre. </w:t>
      </w:r>
      <w:r w:rsidRPr="00652972">
        <w:rPr>
          <w:rFonts w:eastAsia="Times New Roman" w:cstheme="minorHAnsi"/>
          <w:u w:val="single"/>
        </w:rPr>
        <w:t xml:space="preserve">Note: The label also limits Sandea applications to </w:t>
      </w:r>
      <w:r w:rsidRPr="00652972">
        <w:rPr>
          <w:rFonts w:eastAsia="Times New Roman" w:cstheme="minorHAnsi"/>
          <w:b/>
          <w:bCs/>
          <w:u w:val="single"/>
        </w:rPr>
        <w:t>2.0 ounces per acre per year</w:t>
      </w:r>
      <w:r w:rsidRPr="00652972">
        <w:rPr>
          <w:rFonts w:eastAsia="Times New Roman" w:cstheme="minorHAnsi"/>
          <w:u w:val="single"/>
        </w:rPr>
        <w:t>.</w:t>
      </w:r>
    </w:p>
    <w:p w14:paraId="0AF0B931" w14:textId="77777777" w:rsidR="00652972" w:rsidRPr="00652972" w:rsidRDefault="00652972" w:rsidP="00652972">
      <w:pPr>
        <w:spacing w:before="100" w:beforeAutospacing="1" w:after="100" w:afterAutospacing="1" w:line="240" w:lineRule="auto"/>
        <w:rPr>
          <w:rFonts w:eastAsia="Times New Roman" w:cstheme="minorHAnsi"/>
        </w:rPr>
      </w:pPr>
      <w:r w:rsidRPr="00652972">
        <w:rPr>
          <w:rFonts w:eastAsia="Times New Roman" w:cstheme="minorHAnsi"/>
        </w:rPr>
        <w:t>In trials using 0.1, 0.25, 0.5, and 1.0 ounces per acre, the 0.5- and 1.0-ounce rates have provided nutsedge control.</w:t>
      </w:r>
    </w:p>
    <w:p w14:paraId="4FFD44B2" w14:textId="77777777" w:rsidR="00652972" w:rsidRPr="00652972" w:rsidRDefault="00652972" w:rsidP="00652972">
      <w:pPr>
        <w:spacing w:before="100" w:beforeAutospacing="1" w:after="100" w:afterAutospacing="1" w:line="240" w:lineRule="auto"/>
        <w:outlineLvl w:val="2"/>
        <w:rPr>
          <w:rFonts w:eastAsia="Times New Roman" w:cstheme="minorHAnsi"/>
        </w:rPr>
      </w:pPr>
      <w:r w:rsidRPr="00652972">
        <w:rPr>
          <w:rFonts w:eastAsia="Times New Roman" w:cstheme="minorHAnsi"/>
        </w:rPr>
        <w:t>Estimating the Treated Area</w:t>
      </w:r>
    </w:p>
    <w:tbl>
      <w:tblPr>
        <w:tblStyle w:val="TableGrid"/>
        <w:tblW w:w="0" w:type="auto"/>
        <w:tblInd w:w="-5" w:type="dxa"/>
        <w:tblLook w:val="04A0" w:firstRow="1" w:lastRow="0" w:firstColumn="1" w:lastColumn="0" w:noHBand="0" w:noVBand="1"/>
      </w:tblPr>
      <w:tblGrid>
        <w:gridCol w:w="1228"/>
        <w:gridCol w:w="1292"/>
        <w:gridCol w:w="1289"/>
        <w:gridCol w:w="1289"/>
        <w:gridCol w:w="1289"/>
        <w:gridCol w:w="1289"/>
      </w:tblGrid>
      <w:tr w:rsidR="00652972" w:rsidRPr="00652972" w14:paraId="517270F3" w14:textId="77777777" w:rsidTr="0082380E">
        <w:trPr>
          <w:trHeight w:val="272"/>
        </w:trPr>
        <w:tc>
          <w:tcPr>
            <w:tcW w:w="2520" w:type="dxa"/>
            <w:gridSpan w:val="2"/>
            <w:vMerge w:val="restart"/>
          </w:tcPr>
          <w:p w14:paraId="42414DD6" w14:textId="77777777" w:rsidR="00652972" w:rsidRPr="00652972" w:rsidRDefault="00652972" w:rsidP="00652972">
            <w:pPr>
              <w:jc w:val="center"/>
              <w:rPr>
                <w:rFonts w:cstheme="minorHAnsi"/>
              </w:rPr>
            </w:pPr>
          </w:p>
        </w:tc>
        <w:tc>
          <w:tcPr>
            <w:tcW w:w="5156" w:type="dxa"/>
            <w:gridSpan w:val="4"/>
          </w:tcPr>
          <w:p w14:paraId="5E53D72B" w14:textId="77777777" w:rsidR="00652972" w:rsidRPr="00652972" w:rsidRDefault="00652972" w:rsidP="00652972">
            <w:pPr>
              <w:jc w:val="center"/>
              <w:rPr>
                <w:rFonts w:cstheme="minorHAnsi"/>
              </w:rPr>
            </w:pPr>
            <w:r w:rsidRPr="00652972">
              <w:rPr>
                <w:rFonts w:cstheme="minorHAnsi"/>
              </w:rPr>
              <w:t>Row Spacing (in feet)</w:t>
            </w:r>
          </w:p>
        </w:tc>
      </w:tr>
      <w:tr w:rsidR="00652972" w:rsidRPr="00652972" w14:paraId="25E5FF65" w14:textId="77777777" w:rsidTr="0082380E">
        <w:trPr>
          <w:trHeight w:val="145"/>
        </w:trPr>
        <w:tc>
          <w:tcPr>
            <w:tcW w:w="2520" w:type="dxa"/>
            <w:gridSpan w:val="2"/>
            <w:vMerge/>
          </w:tcPr>
          <w:p w14:paraId="2E63FC6F" w14:textId="77777777" w:rsidR="00652972" w:rsidRPr="00652972" w:rsidRDefault="00652972" w:rsidP="00652972">
            <w:pPr>
              <w:rPr>
                <w:rFonts w:cstheme="minorHAnsi"/>
              </w:rPr>
            </w:pPr>
          </w:p>
        </w:tc>
        <w:tc>
          <w:tcPr>
            <w:tcW w:w="1289" w:type="dxa"/>
            <w:shd w:val="clear" w:color="auto" w:fill="FFFF00"/>
          </w:tcPr>
          <w:p w14:paraId="4CD80637" w14:textId="77777777" w:rsidR="00652972" w:rsidRPr="00652972" w:rsidRDefault="00652972" w:rsidP="00652972">
            <w:pPr>
              <w:jc w:val="center"/>
              <w:rPr>
                <w:rFonts w:cstheme="minorHAnsi"/>
              </w:rPr>
            </w:pPr>
            <w:r w:rsidRPr="00652972">
              <w:rPr>
                <w:rFonts w:cstheme="minorHAnsi"/>
              </w:rPr>
              <w:t>8</w:t>
            </w:r>
          </w:p>
        </w:tc>
        <w:tc>
          <w:tcPr>
            <w:tcW w:w="1289" w:type="dxa"/>
          </w:tcPr>
          <w:p w14:paraId="1673484C" w14:textId="77777777" w:rsidR="00652972" w:rsidRPr="00652972" w:rsidRDefault="00652972" w:rsidP="00652972">
            <w:pPr>
              <w:jc w:val="center"/>
              <w:rPr>
                <w:rFonts w:cstheme="minorHAnsi"/>
              </w:rPr>
            </w:pPr>
            <w:r w:rsidRPr="00652972">
              <w:rPr>
                <w:rFonts w:cstheme="minorHAnsi"/>
              </w:rPr>
              <w:t>9</w:t>
            </w:r>
          </w:p>
        </w:tc>
        <w:tc>
          <w:tcPr>
            <w:tcW w:w="1289" w:type="dxa"/>
          </w:tcPr>
          <w:p w14:paraId="5FA936B1" w14:textId="77777777" w:rsidR="00652972" w:rsidRPr="00652972" w:rsidRDefault="00652972" w:rsidP="00652972">
            <w:pPr>
              <w:jc w:val="center"/>
              <w:rPr>
                <w:rFonts w:cstheme="minorHAnsi"/>
              </w:rPr>
            </w:pPr>
            <w:r w:rsidRPr="00652972">
              <w:rPr>
                <w:rFonts w:cstheme="minorHAnsi"/>
              </w:rPr>
              <w:t>10</w:t>
            </w:r>
          </w:p>
        </w:tc>
        <w:tc>
          <w:tcPr>
            <w:tcW w:w="1289" w:type="dxa"/>
          </w:tcPr>
          <w:p w14:paraId="79A40F25" w14:textId="77777777" w:rsidR="00652972" w:rsidRPr="00652972" w:rsidRDefault="00652972" w:rsidP="00652972">
            <w:pPr>
              <w:jc w:val="center"/>
              <w:rPr>
                <w:rFonts w:cstheme="minorHAnsi"/>
              </w:rPr>
            </w:pPr>
            <w:r w:rsidRPr="00652972">
              <w:rPr>
                <w:rFonts w:cstheme="minorHAnsi"/>
              </w:rPr>
              <w:t>12</w:t>
            </w:r>
          </w:p>
        </w:tc>
      </w:tr>
      <w:tr w:rsidR="00652972" w:rsidRPr="00652972" w14:paraId="77F584CF" w14:textId="77777777" w:rsidTr="0082380E">
        <w:trPr>
          <w:trHeight w:val="271"/>
        </w:trPr>
        <w:tc>
          <w:tcPr>
            <w:tcW w:w="1228" w:type="dxa"/>
            <w:vMerge w:val="restart"/>
            <w:textDirection w:val="tbRl"/>
          </w:tcPr>
          <w:p w14:paraId="03839066" w14:textId="77777777" w:rsidR="00652972" w:rsidRPr="00652972" w:rsidRDefault="00652972" w:rsidP="00652972">
            <w:pPr>
              <w:ind w:left="113" w:right="113"/>
              <w:jc w:val="center"/>
              <w:rPr>
                <w:rFonts w:cstheme="minorHAnsi"/>
              </w:rPr>
            </w:pPr>
            <w:r w:rsidRPr="00652972">
              <w:rPr>
                <w:rFonts w:cstheme="minorHAnsi"/>
              </w:rPr>
              <w:t xml:space="preserve">Mulched Surface Width </w:t>
            </w:r>
          </w:p>
          <w:p w14:paraId="69475033" w14:textId="77777777" w:rsidR="00652972" w:rsidRPr="00652972" w:rsidRDefault="00652972" w:rsidP="00652972">
            <w:pPr>
              <w:rPr>
                <w:rFonts w:cstheme="minorHAnsi"/>
              </w:rPr>
            </w:pPr>
            <w:r w:rsidRPr="00652972">
              <w:rPr>
                <w:rFonts w:cstheme="minorHAnsi"/>
              </w:rPr>
              <w:t>(in inches)</w:t>
            </w:r>
          </w:p>
          <w:p w14:paraId="6FDCA8BD" w14:textId="77777777" w:rsidR="00652972" w:rsidRPr="00652972" w:rsidRDefault="00652972" w:rsidP="00652972">
            <w:pPr>
              <w:rPr>
                <w:rFonts w:cstheme="minorHAnsi"/>
              </w:rPr>
            </w:pPr>
          </w:p>
        </w:tc>
        <w:tc>
          <w:tcPr>
            <w:tcW w:w="1292" w:type="dxa"/>
          </w:tcPr>
          <w:p w14:paraId="7F42504B" w14:textId="77777777" w:rsidR="00652972" w:rsidRPr="00652972" w:rsidRDefault="00652972" w:rsidP="00652972">
            <w:pPr>
              <w:jc w:val="center"/>
              <w:rPr>
                <w:rFonts w:cstheme="minorHAnsi"/>
              </w:rPr>
            </w:pPr>
            <w:r w:rsidRPr="00652972">
              <w:rPr>
                <w:rFonts w:cstheme="minorHAnsi"/>
              </w:rPr>
              <w:t>24”</w:t>
            </w:r>
          </w:p>
        </w:tc>
        <w:tc>
          <w:tcPr>
            <w:tcW w:w="1289" w:type="dxa"/>
          </w:tcPr>
          <w:p w14:paraId="2E0F5458" w14:textId="77777777" w:rsidR="00652972" w:rsidRPr="00652972" w:rsidRDefault="00652972" w:rsidP="00652972">
            <w:pPr>
              <w:jc w:val="center"/>
              <w:rPr>
                <w:rFonts w:cstheme="minorHAnsi"/>
              </w:rPr>
            </w:pPr>
            <w:r w:rsidRPr="00652972">
              <w:rPr>
                <w:rFonts w:cstheme="minorHAnsi"/>
              </w:rPr>
              <w:t>25</w:t>
            </w:r>
          </w:p>
        </w:tc>
        <w:tc>
          <w:tcPr>
            <w:tcW w:w="1289" w:type="dxa"/>
          </w:tcPr>
          <w:p w14:paraId="1D237AA1" w14:textId="77777777" w:rsidR="00652972" w:rsidRPr="00652972" w:rsidRDefault="00652972" w:rsidP="00652972">
            <w:pPr>
              <w:jc w:val="center"/>
              <w:rPr>
                <w:rFonts w:cstheme="minorHAnsi"/>
              </w:rPr>
            </w:pPr>
            <w:r w:rsidRPr="00652972">
              <w:rPr>
                <w:rFonts w:cstheme="minorHAnsi"/>
              </w:rPr>
              <w:t>22</w:t>
            </w:r>
          </w:p>
        </w:tc>
        <w:tc>
          <w:tcPr>
            <w:tcW w:w="1289" w:type="dxa"/>
          </w:tcPr>
          <w:p w14:paraId="752430FA" w14:textId="77777777" w:rsidR="00652972" w:rsidRPr="00652972" w:rsidRDefault="00652972" w:rsidP="00652972">
            <w:pPr>
              <w:jc w:val="center"/>
              <w:rPr>
                <w:rFonts w:cstheme="minorHAnsi"/>
              </w:rPr>
            </w:pPr>
            <w:r w:rsidRPr="00652972">
              <w:rPr>
                <w:rFonts w:cstheme="minorHAnsi"/>
              </w:rPr>
              <w:t>20</w:t>
            </w:r>
          </w:p>
        </w:tc>
        <w:tc>
          <w:tcPr>
            <w:tcW w:w="1289" w:type="dxa"/>
          </w:tcPr>
          <w:p w14:paraId="0877D365" w14:textId="77777777" w:rsidR="00652972" w:rsidRPr="00652972" w:rsidRDefault="00652972" w:rsidP="00652972">
            <w:pPr>
              <w:jc w:val="center"/>
              <w:rPr>
                <w:rFonts w:cstheme="minorHAnsi"/>
              </w:rPr>
            </w:pPr>
            <w:r w:rsidRPr="00652972">
              <w:rPr>
                <w:rFonts w:cstheme="minorHAnsi"/>
              </w:rPr>
              <w:t>16</w:t>
            </w:r>
          </w:p>
        </w:tc>
      </w:tr>
      <w:tr w:rsidR="00652972" w:rsidRPr="00652972" w14:paraId="4851A763" w14:textId="77777777" w:rsidTr="0082380E">
        <w:trPr>
          <w:trHeight w:val="271"/>
        </w:trPr>
        <w:tc>
          <w:tcPr>
            <w:tcW w:w="1228" w:type="dxa"/>
            <w:vMerge/>
          </w:tcPr>
          <w:p w14:paraId="20F4DF1B" w14:textId="77777777" w:rsidR="00652972" w:rsidRPr="00652972" w:rsidRDefault="00652972" w:rsidP="00652972">
            <w:pPr>
              <w:rPr>
                <w:rFonts w:cstheme="minorHAnsi"/>
              </w:rPr>
            </w:pPr>
          </w:p>
        </w:tc>
        <w:tc>
          <w:tcPr>
            <w:tcW w:w="1292" w:type="dxa"/>
            <w:shd w:val="clear" w:color="auto" w:fill="FFFF00"/>
          </w:tcPr>
          <w:p w14:paraId="6D1FC37B" w14:textId="77777777" w:rsidR="00652972" w:rsidRPr="00652972" w:rsidRDefault="00652972" w:rsidP="00652972">
            <w:pPr>
              <w:jc w:val="center"/>
              <w:rPr>
                <w:rFonts w:cstheme="minorHAnsi"/>
                <w:highlight w:val="yellow"/>
              </w:rPr>
            </w:pPr>
            <w:r w:rsidRPr="00652972">
              <w:rPr>
                <w:rFonts w:cstheme="minorHAnsi"/>
                <w:highlight w:val="yellow"/>
              </w:rPr>
              <w:t>28”</w:t>
            </w:r>
          </w:p>
        </w:tc>
        <w:tc>
          <w:tcPr>
            <w:tcW w:w="1289" w:type="dxa"/>
            <w:shd w:val="clear" w:color="auto" w:fill="FFFF00"/>
          </w:tcPr>
          <w:p w14:paraId="769B3A1F" w14:textId="77777777" w:rsidR="00652972" w:rsidRPr="00652972" w:rsidRDefault="00652972" w:rsidP="00652972">
            <w:pPr>
              <w:jc w:val="center"/>
              <w:rPr>
                <w:rFonts w:cstheme="minorHAnsi"/>
                <w:highlight w:val="yellow"/>
              </w:rPr>
            </w:pPr>
            <w:r w:rsidRPr="00652972">
              <w:rPr>
                <w:rFonts w:cstheme="minorHAnsi"/>
                <w:highlight w:val="yellow"/>
              </w:rPr>
              <w:t>29</w:t>
            </w:r>
          </w:p>
        </w:tc>
        <w:tc>
          <w:tcPr>
            <w:tcW w:w="1289" w:type="dxa"/>
          </w:tcPr>
          <w:p w14:paraId="3C119B97" w14:textId="77777777" w:rsidR="00652972" w:rsidRPr="00652972" w:rsidRDefault="00652972" w:rsidP="00652972">
            <w:pPr>
              <w:jc w:val="center"/>
              <w:rPr>
                <w:rFonts w:cstheme="minorHAnsi"/>
              </w:rPr>
            </w:pPr>
            <w:r w:rsidRPr="00652972">
              <w:rPr>
                <w:rFonts w:cstheme="minorHAnsi"/>
              </w:rPr>
              <w:t>26</w:t>
            </w:r>
          </w:p>
        </w:tc>
        <w:tc>
          <w:tcPr>
            <w:tcW w:w="1289" w:type="dxa"/>
          </w:tcPr>
          <w:p w14:paraId="0A8AD217" w14:textId="77777777" w:rsidR="00652972" w:rsidRPr="00652972" w:rsidRDefault="00652972" w:rsidP="00652972">
            <w:pPr>
              <w:jc w:val="center"/>
              <w:rPr>
                <w:rFonts w:cstheme="minorHAnsi"/>
              </w:rPr>
            </w:pPr>
            <w:r w:rsidRPr="00652972">
              <w:rPr>
                <w:rFonts w:cstheme="minorHAnsi"/>
              </w:rPr>
              <w:t>23</w:t>
            </w:r>
          </w:p>
        </w:tc>
        <w:tc>
          <w:tcPr>
            <w:tcW w:w="1289" w:type="dxa"/>
          </w:tcPr>
          <w:p w14:paraId="0AAA74DB" w14:textId="77777777" w:rsidR="00652972" w:rsidRPr="00652972" w:rsidRDefault="00652972" w:rsidP="00652972">
            <w:pPr>
              <w:jc w:val="center"/>
              <w:rPr>
                <w:rFonts w:cstheme="minorHAnsi"/>
              </w:rPr>
            </w:pPr>
            <w:r w:rsidRPr="00652972">
              <w:rPr>
                <w:rFonts w:cstheme="minorHAnsi"/>
              </w:rPr>
              <w:t>19</w:t>
            </w:r>
          </w:p>
        </w:tc>
      </w:tr>
      <w:tr w:rsidR="00652972" w:rsidRPr="00652972" w14:paraId="08074581" w14:textId="77777777" w:rsidTr="0082380E">
        <w:trPr>
          <w:trHeight w:val="271"/>
        </w:trPr>
        <w:tc>
          <w:tcPr>
            <w:tcW w:w="1228" w:type="dxa"/>
            <w:vMerge/>
          </w:tcPr>
          <w:p w14:paraId="7F8F52C8" w14:textId="77777777" w:rsidR="00652972" w:rsidRPr="00652972" w:rsidRDefault="00652972" w:rsidP="00652972">
            <w:pPr>
              <w:rPr>
                <w:rFonts w:cstheme="minorHAnsi"/>
              </w:rPr>
            </w:pPr>
          </w:p>
        </w:tc>
        <w:tc>
          <w:tcPr>
            <w:tcW w:w="1292" w:type="dxa"/>
          </w:tcPr>
          <w:p w14:paraId="3867D059" w14:textId="77777777" w:rsidR="00652972" w:rsidRPr="00652972" w:rsidRDefault="00652972" w:rsidP="00652972">
            <w:pPr>
              <w:jc w:val="center"/>
              <w:rPr>
                <w:rFonts w:cstheme="minorHAnsi"/>
              </w:rPr>
            </w:pPr>
            <w:r w:rsidRPr="00652972">
              <w:rPr>
                <w:rFonts w:cstheme="minorHAnsi"/>
              </w:rPr>
              <w:t>36”</w:t>
            </w:r>
          </w:p>
        </w:tc>
        <w:tc>
          <w:tcPr>
            <w:tcW w:w="1289" w:type="dxa"/>
          </w:tcPr>
          <w:p w14:paraId="01B0AC65" w14:textId="77777777" w:rsidR="00652972" w:rsidRPr="00652972" w:rsidRDefault="00652972" w:rsidP="00652972">
            <w:pPr>
              <w:jc w:val="center"/>
              <w:rPr>
                <w:rFonts w:cstheme="minorHAnsi"/>
              </w:rPr>
            </w:pPr>
            <w:r w:rsidRPr="00652972">
              <w:rPr>
                <w:rFonts w:cstheme="minorHAnsi"/>
              </w:rPr>
              <w:t>38</w:t>
            </w:r>
          </w:p>
        </w:tc>
        <w:tc>
          <w:tcPr>
            <w:tcW w:w="1289" w:type="dxa"/>
          </w:tcPr>
          <w:p w14:paraId="71D24BCC" w14:textId="77777777" w:rsidR="00652972" w:rsidRPr="00652972" w:rsidRDefault="00652972" w:rsidP="00652972">
            <w:pPr>
              <w:jc w:val="center"/>
              <w:rPr>
                <w:rFonts w:cstheme="minorHAnsi"/>
              </w:rPr>
            </w:pPr>
            <w:r w:rsidRPr="00652972">
              <w:rPr>
                <w:rFonts w:cstheme="minorHAnsi"/>
              </w:rPr>
              <w:t>33</w:t>
            </w:r>
          </w:p>
        </w:tc>
        <w:tc>
          <w:tcPr>
            <w:tcW w:w="1289" w:type="dxa"/>
          </w:tcPr>
          <w:p w14:paraId="2BB2B84A" w14:textId="77777777" w:rsidR="00652972" w:rsidRPr="00652972" w:rsidRDefault="00652972" w:rsidP="00652972">
            <w:pPr>
              <w:jc w:val="center"/>
              <w:rPr>
                <w:rFonts w:cstheme="minorHAnsi"/>
              </w:rPr>
            </w:pPr>
            <w:r w:rsidRPr="00652972">
              <w:rPr>
                <w:rFonts w:cstheme="minorHAnsi"/>
              </w:rPr>
              <w:t>30</w:t>
            </w:r>
          </w:p>
        </w:tc>
        <w:tc>
          <w:tcPr>
            <w:tcW w:w="1289" w:type="dxa"/>
          </w:tcPr>
          <w:p w14:paraId="0254BDF0" w14:textId="77777777" w:rsidR="00652972" w:rsidRPr="00652972" w:rsidRDefault="00652972" w:rsidP="00652972">
            <w:pPr>
              <w:jc w:val="center"/>
              <w:rPr>
                <w:rFonts w:cstheme="minorHAnsi"/>
              </w:rPr>
            </w:pPr>
            <w:r w:rsidRPr="00652972">
              <w:rPr>
                <w:rFonts w:cstheme="minorHAnsi"/>
              </w:rPr>
              <w:t>25.0</w:t>
            </w:r>
          </w:p>
        </w:tc>
      </w:tr>
      <w:tr w:rsidR="00652972" w:rsidRPr="00652972" w14:paraId="27228CF8" w14:textId="77777777" w:rsidTr="0082380E">
        <w:trPr>
          <w:trHeight w:val="271"/>
        </w:trPr>
        <w:tc>
          <w:tcPr>
            <w:tcW w:w="1228" w:type="dxa"/>
            <w:vMerge/>
          </w:tcPr>
          <w:p w14:paraId="1A022AE1" w14:textId="77777777" w:rsidR="00652972" w:rsidRPr="00652972" w:rsidRDefault="00652972" w:rsidP="00652972">
            <w:pPr>
              <w:rPr>
                <w:rFonts w:cstheme="minorHAnsi"/>
              </w:rPr>
            </w:pPr>
          </w:p>
        </w:tc>
        <w:tc>
          <w:tcPr>
            <w:tcW w:w="1292" w:type="dxa"/>
          </w:tcPr>
          <w:p w14:paraId="6033A902" w14:textId="77777777" w:rsidR="00652972" w:rsidRPr="00652972" w:rsidRDefault="00652972" w:rsidP="00652972">
            <w:pPr>
              <w:jc w:val="center"/>
              <w:rPr>
                <w:rFonts w:cstheme="minorHAnsi"/>
              </w:rPr>
            </w:pPr>
          </w:p>
        </w:tc>
        <w:tc>
          <w:tcPr>
            <w:tcW w:w="5156" w:type="dxa"/>
            <w:gridSpan w:val="4"/>
          </w:tcPr>
          <w:p w14:paraId="38E793EC" w14:textId="77777777" w:rsidR="00652972" w:rsidRPr="00652972" w:rsidRDefault="00652972" w:rsidP="00652972">
            <w:pPr>
              <w:jc w:val="center"/>
              <w:rPr>
                <w:rFonts w:cstheme="minorHAnsi"/>
              </w:rPr>
            </w:pPr>
            <w:r w:rsidRPr="00652972">
              <w:rPr>
                <w:rFonts w:cstheme="minorHAnsi"/>
              </w:rPr>
              <w:t xml:space="preserve">Percent of planted </w:t>
            </w:r>
            <w:proofErr w:type="gramStart"/>
            <w:r w:rsidRPr="00652972">
              <w:rPr>
                <w:rFonts w:cstheme="minorHAnsi"/>
              </w:rPr>
              <w:t>area</w:t>
            </w:r>
            <w:proofErr w:type="gramEnd"/>
            <w:r w:rsidRPr="00652972">
              <w:rPr>
                <w:rFonts w:cstheme="minorHAnsi"/>
              </w:rPr>
              <w:t xml:space="preserve"> covered by mulch</w:t>
            </w:r>
          </w:p>
        </w:tc>
      </w:tr>
    </w:tbl>
    <w:p w14:paraId="7386BD77" w14:textId="77777777" w:rsidR="00652972" w:rsidRPr="00652972" w:rsidRDefault="00652972" w:rsidP="00652972">
      <w:pPr>
        <w:spacing w:before="100" w:beforeAutospacing="1" w:after="100" w:afterAutospacing="1" w:line="240" w:lineRule="auto"/>
        <w:rPr>
          <w:rFonts w:eastAsia="Times New Roman" w:cstheme="minorHAnsi"/>
        </w:rPr>
      </w:pPr>
      <w:r w:rsidRPr="00652972">
        <w:rPr>
          <w:rFonts w:eastAsia="Times New Roman" w:cstheme="minorHAnsi"/>
        </w:rPr>
        <w:t>Example: For 30 row acres with 8-foot row spacing and 28-inch bed tops:</w:t>
      </w:r>
      <w:r w:rsidRPr="00652972">
        <w:rPr>
          <w:rFonts w:eastAsia="Times New Roman" w:cstheme="minorHAnsi"/>
        </w:rPr>
        <w:br/>
        <w:t>30 acres x 0.29 (29%) = 8.7 treated acres.</w:t>
      </w:r>
    </w:p>
    <w:p w14:paraId="131F60FD" w14:textId="77777777" w:rsidR="00652972" w:rsidRPr="00652972" w:rsidRDefault="00652972" w:rsidP="00672199">
      <w:pPr>
        <w:spacing w:after="0" w:line="240" w:lineRule="auto"/>
        <w:outlineLvl w:val="2"/>
        <w:rPr>
          <w:rFonts w:eastAsia="Times New Roman" w:cstheme="minorHAnsi"/>
        </w:rPr>
      </w:pPr>
      <w:r w:rsidRPr="00652972">
        <w:rPr>
          <w:rFonts w:eastAsia="Times New Roman" w:cstheme="minorHAnsi"/>
        </w:rPr>
        <w:t>Additional Notes</w:t>
      </w:r>
    </w:p>
    <w:p w14:paraId="35D88CF9" w14:textId="77777777" w:rsidR="00652972" w:rsidRPr="00652972" w:rsidRDefault="00652972" w:rsidP="00672199">
      <w:pPr>
        <w:numPr>
          <w:ilvl w:val="0"/>
          <w:numId w:val="2"/>
        </w:numPr>
        <w:spacing w:after="0" w:line="240" w:lineRule="auto"/>
        <w:rPr>
          <w:rFonts w:eastAsia="Times New Roman" w:cstheme="minorHAnsi"/>
        </w:rPr>
      </w:pPr>
      <w:r w:rsidRPr="00652972">
        <w:rPr>
          <w:rFonts w:eastAsia="Times New Roman" w:cstheme="minorHAnsi"/>
        </w:rPr>
        <w:t>Avoid contact with watermelon plants.</w:t>
      </w:r>
    </w:p>
    <w:p w14:paraId="4FA4F5BC" w14:textId="47CFBAE0" w:rsidR="00652972" w:rsidRPr="00652972" w:rsidRDefault="00652972" w:rsidP="00672199">
      <w:pPr>
        <w:numPr>
          <w:ilvl w:val="0"/>
          <w:numId w:val="2"/>
        </w:numPr>
        <w:spacing w:after="0" w:line="240" w:lineRule="auto"/>
        <w:rPr>
          <w:rFonts w:eastAsia="Times New Roman" w:cstheme="minorHAnsi"/>
        </w:rPr>
      </w:pPr>
      <w:r w:rsidRPr="00652972">
        <w:rPr>
          <w:rFonts w:eastAsia="Times New Roman" w:cstheme="minorHAnsi"/>
        </w:rPr>
        <w:t xml:space="preserve">Minimize </w:t>
      </w:r>
      <w:r w:rsidR="00B108E7">
        <w:rPr>
          <w:rFonts w:eastAsia="Times New Roman" w:cstheme="minorHAnsi"/>
        </w:rPr>
        <w:t xml:space="preserve">wick </w:t>
      </w:r>
      <w:r w:rsidRPr="00652972">
        <w:rPr>
          <w:rFonts w:eastAsia="Times New Roman" w:cstheme="minorHAnsi"/>
        </w:rPr>
        <w:t>applicator contact with mulch to reduce residues</w:t>
      </w:r>
      <w:r w:rsidR="00B108E7">
        <w:rPr>
          <w:rFonts w:eastAsia="Times New Roman" w:cstheme="minorHAnsi"/>
        </w:rPr>
        <w:t xml:space="preserve"> that may be washed into the plant holes</w:t>
      </w:r>
      <w:r w:rsidRPr="00652972">
        <w:rPr>
          <w:rFonts w:eastAsia="Times New Roman" w:cstheme="minorHAnsi"/>
        </w:rPr>
        <w:t>.</w:t>
      </w:r>
    </w:p>
    <w:p w14:paraId="06741FDE" w14:textId="77777777" w:rsidR="00652972" w:rsidRPr="00652972" w:rsidRDefault="00652972" w:rsidP="00672199">
      <w:pPr>
        <w:numPr>
          <w:ilvl w:val="0"/>
          <w:numId w:val="2"/>
        </w:numPr>
        <w:spacing w:after="0" w:line="240" w:lineRule="auto"/>
        <w:rPr>
          <w:rFonts w:eastAsia="Times New Roman" w:cstheme="minorHAnsi"/>
        </w:rPr>
      </w:pPr>
      <w:r w:rsidRPr="00652972">
        <w:rPr>
          <w:rFonts w:eastAsia="Times New Roman" w:cstheme="minorHAnsi"/>
        </w:rPr>
        <w:t>Improved efficacy with use a non-ionic surfactant.</w:t>
      </w:r>
    </w:p>
    <w:p w14:paraId="2FF730B6" w14:textId="77777777" w:rsidR="00652972" w:rsidRPr="00652972" w:rsidRDefault="00652972" w:rsidP="00672199">
      <w:pPr>
        <w:numPr>
          <w:ilvl w:val="0"/>
          <w:numId w:val="2"/>
        </w:numPr>
        <w:spacing w:after="0" w:line="240" w:lineRule="auto"/>
        <w:rPr>
          <w:rFonts w:eastAsia="Times New Roman" w:cstheme="minorHAnsi"/>
        </w:rPr>
      </w:pPr>
      <w:r w:rsidRPr="00652972">
        <w:rPr>
          <w:rFonts w:eastAsia="Times New Roman" w:cstheme="minorHAnsi"/>
        </w:rPr>
        <w:t>Better results are seen if the sedge is swiped in both directions.</w:t>
      </w:r>
    </w:p>
    <w:p w14:paraId="39147E46" w14:textId="77777777" w:rsidR="00652972" w:rsidRPr="00652972" w:rsidRDefault="00652972" w:rsidP="00672199">
      <w:pPr>
        <w:numPr>
          <w:ilvl w:val="0"/>
          <w:numId w:val="2"/>
        </w:numPr>
        <w:spacing w:after="0" w:line="240" w:lineRule="auto"/>
        <w:rPr>
          <w:rFonts w:eastAsia="Times New Roman" w:cstheme="minorHAnsi"/>
        </w:rPr>
      </w:pPr>
      <w:r w:rsidRPr="00652972">
        <w:rPr>
          <w:rFonts w:eastAsia="Times New Roman" w:cstheme="minorHAnsi"/>
        </w:rPr>
        <w:t>Mix only what will be used within 24 hours.</w:t>
      </w:r>
    </w:p>
    <w:p w14:paraId="44BB462A" w14:textId="7CEFFB37" w:rsidR="00672199" w:rsidRPr="00E90DBA" w:rsidRDefault="00652972" w:rsidP="0099343C">
      <w:pPr>
        <w:numPr>
          <w:ilvl w:val="0"/>
          <w:numId w:val="2"/>
        </w:numPr>
        <w:spacing w:before="100" w:beforeAutospacing="1" w:after="100" w:afterAutospacing="1" w:line="240" w:lineRule="auto"/>
        <w:rPr>
          <w:rFonts w:eastAsia="Times New Roman" w:cstheme="minorHAnsi"/>
        </w:rPr>
      </w:pPr>
      <w:r w:rsidRPr="00652972">
        <w:rPr>
          <w:rFonts w:eastAsia="Times New Roman" w:cstheme="minorHAnsi"/>
        </w:rPr>
        <w:t>Follow label instructions for PPE and REI intervals.</w:t>
      </w:r>
      <w:r w:rsidR="00E90DBA">
        <w:rPr>
          <w:rFonts w:eastAsia="Times New Roman" w:cstheme="minorHAnsi"/>
        </w:rPr>
        <w:t xml:space="preserve"> (</w:t>
      </w:r>
      <w:r w:rsidR="00672199" w:rsidRPr="00E90DBA">
        <w:rPr>
          <w:rFonts w:eastAsia="Times New Roman" w:cstheme="minorHAnsi"/>
        </w:rPr>
        <w:t>Article by Mark Warren</w:t>
      </w:r>
      <w:r w:rsidR="001F1294">
        <w:rPr>
          <w:rFonts w:eastAsia="Times New Roman" w:cstheme="minorHAnsi"/>
        </w:rPr>
        <w:t>)</w:t>
      </w:r>
      <w:r w:rsidR="00672199" w:rsidRPr="00E90DBA">
        <w:rPr>
          <w:rFonts w:eastAsia="Times New Roman" w:cstheme="minorHAnsi"/>
        </w:rPr>
        <w:t>.</w:t>
      </w:r>
    </w:p>
    <w:p w14:paraId="10B5869F" w14:textId="672F2238" w:rsidR="00CE16CE" w:rsidRDefault="00CE16CE" w:rsidP="00CE16CE">
      <w:pPr>
        <w:spacing w:before="100" w:beforeAutospacing="1" w:after="100" w:afterAutospacing="1" w:line="240" w:lineRule="auto"/>
        <w:rPr>
          <w:rFonts w:eastAsia="Times New Roman" w:cstheme="minorHAnsi"/>
        </w:rPr>
      </w:pPr>
      <w:r>
        <w:rPr>
          <w:rFonts w:eastAsia="Times New Roman" w:cstheme="minorHAnsi"/>
        </w:rPr>
        <w:t>Photo</w:t>
      </w:r>
      <w:r w:rsidR="00ED7EB7">
        <w:rPr>
          <w:rFonts w:eastAsia="Times New Roman" w:cstheme="minorHAnsi"/>
        </w:rPr>
        <w:t>: Mark Warren and wick applicator trial on farm.</w:t>
      </w:r>
    </w:p>
    <w:p w14:paraId="612C65C5" w14:textId="3177C4D4" w:rsidR="00CE16CE" w:rsidRPr="00CE16CE" w:rsidRDefault="00CE16CE" w:rsidP="00CE16CE">
      <w:pPr>
        <w:pStyle w:val="NormalWeb"/>
      </w:pPr>
      <w:r w:rsidRPr="00CE16CE">
        <w:drawing>
          <wp:inline distT="0" distB="0" distL="0" distR="0" wp14:anchorId="4CA1404B" wp14:editId="039CC54E">
            <wp:extent cx="4658290" cy="2826327"/>
            <wp:effectExtent l="0" t="0" r="0" b="0"/>
            <wp:docPr id="84585243" name="Picture 2" descr="A person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5243" name="Picture 2" descr="A person standing in a field&#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6842" cy="2855785"/>
                    </a:xfrm>
                    <a:prstGeom prst="rect">
                      <a:avLst/>
                    </a:prstGeom>
                    <a:noFill/>
                    <a:ln>
                      <a:noFill/>
                    </a:ln>
                  </pic:spPr>
                </pic:pic>
              </a:graphicData>
            </a:graphic>
          </wp:inline>
        </w:drawing>
      </w:r>
    </w:p>
    <w:p w14:paraId="2047D204" w14:textId="77777777" w:rsidR="001F1294" w:rsidRDefault="001F1294" w:rsidP="00CD1618">
      <w:pPr>
        <w:pStyle w:val="NormalWeb"/>
        <w:rPr>
          <w:rFonts w:asciiTheme="minorHAnsi" w:hAnsiTheme="minorHAnsi" w:cstheme="minorHAnsi"/>
          <w:sz w:val="22"/>
          <w:szCs w:val="22"/>
        </w:rPr>
      </w:pPr>
    </w:p>
    <w:p w14:paraId="5383726F" w14:textId="1D855CDA" w:rsidR="00CD1618" w:rsidRPr="00ED7EB7" w:rsidRDefault="00ED7EB7" w:rsidP="00CD1618">
      <w:pPr>
        <w:pStyle w:val="NormalWeb"/>
        <w:rPr>
          <w:rFonts w:asciiTheme="minorHAnsi" w:hAnsiTheme="minorHAnsi" w:cstheme="minorHAnsi"/>
          <w:sz w:val="22"/>
          <w:szCs w:val="22"/>
        </w:rPr>
      </w:pPr>
      <w:r w:rsidRPr="00ED7EB7">
        <w:rPr>
          <w:rFonts w:asciiTheme="minorHAnsi" w:hAnsiTheme="minorHAnsi" w:cstheme="minorHAnsi"/>
          <w:sz w:val="22"/>
          <w:szCs w:val="22"/>
        </w:rPr>
        <w:t>Photo: Close up of one of many wick applicator designs.</w:t>
      </w:r>
    </w:p>
    <w:p w14:paraId="44FDDD10" w14:textId="3783BA00" w:rsidR="00CD1618" w:rsidRDefault="00CD1618" w:rsidP="00CD1618">
      <w:pPr>
        <w:pStyle w:val="NormalWeb"/>
      </w:pPr>
      <w:r>
        <w:rPr>
          <w:noProof/>
        </w:rPr>
        <w:drawing>
          <wp:inline distT="0" distB="0" distL="0" distR="0" wp14:anchorId="5A167C49" wp14:editId="5EE4F48E">
            <wp:extent cx="3492162" cy="4190593"/>
            <wp:effectExtent l="0" t="0" r="0" b="635"/>
            <wp:docPr id="5" name="Picture 3" descr="A red and black tool with grass growing i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red and black tool with grass growing in the groun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8060" cy="4197670"/>
                    </a:xfrm>
                    <a:prstGeom prst="rect">
                      <a:avLst/>
                    </a:prstGeom>
                    <a:noFill/>
                    <a:ln>
                      <a:noFill/>
                    </a:ln>
                  </pic:spPr>
                </pic:pic>
              </a:graphicData>
            </a:graphic>
          </wp:inline>
        </w:drawing>
      </w:r>
    </w:p>
    <w:p w14:paraId="2091487B" w14:textId="77777777" w:rsidR="00652972" w:rsidRDefault="00652972" w:rsidP="006856AE">
      <w:pPr>
        <w:spacing w:after="0"/>
        <w:rPr>
          <w:b/>
          <w:bCs/>
        </w:rPr>
      </w:pPr>
    </w:p>
    <w:p w14:paraId="0CCB8C97" w14:textId="51E02FA9" w:rsidR="00BF41E6" w:rsidRPr="00672199" w:rsidRDefault="00544387" w:rsidP="006856AE">
      <w:pPr>
        <w:spacing w:after="0"/>
        <w:rPr>
          <w:b/>
          <w:bCs/>
          <w:sz w:val="28"/>
          <w:szCs w:val="28"/>
        </w:rPr>
      </w:pPr>
      <w:r w:rsidRPr="00672199">
        <w:rPr>
          <w:b/>
          <w:bCs/>
          <w:sz w:val="28"/>
          <w:szCs w:val="28"/>
        </w:rPr>
        <w:t>Row middle herbicide considerations</w:t>
      </w:r>
      <w:r w:rsidR="00D166BE" w:rsidRPr="00672199">
        <w:rPr>
          <w:b/>
          <w:bCs/>
          <w:sz w:val="28"/>
          <w:szCs w:val="28"/>
        </w:rPr>
        <w:t>:</w:t>
      </w:r>
    </w:p>
    <w:p w14:paraId="459B74C2" w14:textId="4D412837" w:rsidR="00850122" w:rsidRDefault="00D166BE" w:rsidP="006856AE">
      <w:pPr>
        <w:spacing w:after="0"/>
      </w:pPr>
      <w:r w:rsidRPr="00916AC8">
        <w:t xml:space="preserve">Every year we get </w:t>
      </w:r>
      <w:r w:rsidR="003E3B10">
        <w:t>a few questions about plants in parts</w:t>
      </w:r>
      <w:r w:rsidR="000916CC">
        <w:t xml:space="preserve"> of the field </w:t>
      </w:r>
      <w:r w:rsidR="00473B9D">
        <w:t xml:space="preserve">on certain rows </w:t>
      </w:r>
      <w:r w:rsidR="000916CC">
        <w:t xml:space="preserve">showing yellowing and stunting. </w:t>
      </w:r>
      <w:r w:rsidR="000B2A90">
        <w:t>Of course there ar</w:t>
      </w:r>
      <w:r w:rsidR="002B082F">
        <w:t xml:space="preserve">e several different possible causes, but this article addresses the situation caused by </w:t>
      </w:r>
      <w:r w:rsidR="00394EC5">
        <w:t xml:space="preserve">cultivating/plowing </w:t>
      </w:r>
      <w:r w:rsidR="00473B9D">
        <w:t>herbicide</w:t>
      </w:r>
      <w:r w:rsidR="00D340C5">
        <w:t xml:space="preserve">-treated </w:t>
      </w:r>
      <w:r w:rsidR="00394EC5">
        <w:t>soil from row middles up on top of the beds.</w:t>
      </w:r>
      <w:r w:rsidR="00D340C5">
        <w:t xml:space="preserve"> In </w:t>
      </w:r>
      <w:r w:rsidR="00640E6B">
        <w:t xml:space="preserve">this </w:t>
      </w:r>
      <w:r w:rsidR="00D340C5">
        <w:t>situation</w:t>
      </w:r>
      <w:r w:rsidR="00640E6B">
        <w:t xml:space="preserve">, I am </w:t>
      </w:r>
      <w:r w:rsidR="00234247">
        <w:t>describing situations</w:t>
      </w:r>
      <w:r w:rsidR="00D340C5">
        <w:t xml:space="preserve"> where pre-emergent herbicides such as </w:t>
      </w:r>
      <w:r w:rsidR="006C1EEF">
        <w:t xml:space="preserve">Sandea and </w:t>
      </w:r>
      <w:proofErr w:type="spellStart"/>
      <w:r w:rsidR="006C1EEF">
        <w:t>Sinbar</w:t>
      </w:r>
      <w:proofErr w:type="spellEnd"/>
      <w:r w:rsidR="006C1EEF">
        <w:t xml:space="preserve"> (which I often recommend as a great combination) are applied </w:t>
      </w:r>
      <w:r w:rsidR="006A7122">
        <w:t xml:space="preserve">in a swath </w:t>
      </w:r>
      <w:r w:rsidR="006C1EEF">
        <w:t>under the plastic mulch</w:t>
      </w:r>
      <w:r w:rsidR="006A7122">
        <w:t xml:space="preserve"> and perhaps a little wider than the bed top, or </w:t>
      </w:r>
      <w:r w:rsidR="00640E6B">
        <w:t>when applied to the row middles after the mulch is applied.</w:t>
      </w:r>
      <w:r w:rsidR="00234247">
        <w:t xml:space="preserve"> In these situation</w:t>
      </w:r>
      <w:r w:rsidR="00E31F6C">
        <w:t>s, if a later cultivation or plowing of the soil next to the plastic-covered bed</w:t>
      </w:r>
      <w:r w:rsidR="000D765C">
        <w:t xml:space="preserve"> </w:t>
      </w:r>
      <w:r w:rsidR="008A3866">
        <w:t>throws soil up onto the bed, it can also bring herbicide in that soil up onto the bed.</w:t>
      </w:r>
      <w:r w:rsidR="00391D10">
        <w:t xml:space="preserve"> That herbicide-treated soil can </w:t>
      </w:r>
      <w:r w:rsidR="007A36C9">
        <w:t xml:space="preserve">then </w:t>
      </w:r>
      <w:r w:rsidR="00391D10">
        <w:t>be washed into the holes and result in a</w:t>
      </w:r>
      <w:r w:rsidR="007A36C9">
        <w:t xml:space="preserve"> high</w:t>
      </w:r>
      <w:r w:rsidR="00391D10">
        <w:t xml:space="preserve"> concentration of herbicide into the plant hole.</w:t>
      </w:r>
      <w:r w:rsidR="00AD72A5">
        <w:t xml:space="preserve"> In my experience, these </w:t>
      </w:r>
      <w:r w:rsidR="00A240B5">
        <w:t xml:space="preserve">yellowed and </w:t>
      </w:r>
      <w:r w:rsidR="00AD72A5">
        <w:t>stunted plants usually survive but are held back significantly</w:t>
      </w:r>
      <w:r w:rsidR="00502C59">
        <w:t xml:space="preserve"> (See Photo)</w:t>
      </w:r>
      <w:r w:rsidR="00AD72A5">
        <w:t xml:space="preserve">. </w:t>
      </w:r>
      <w:r w:rsidR="00EB06B4">
        <w:t>Too much soil on the bed top also reduces the warming benefit of the black mulc</w:t>
      </w:r>
      <w:r w:rsidR="00214451">
        <w:t>h</w:t>
      </w:r>
      <w:r w:rsidR="00EB06B4">
        <w:t xml:space="preserve">es. </w:t>
      </w:r>
      <w:r w:rsidR="00A240B5">
        <w:t xml:space="preserve">So, caution here, </w:t>
      </w:r>
      <w:r w:rsidR="005F45CD">
        <w:t xml:space="preserve">realize that herbicide treated soil placed on the bed top can be a very risky </w:t>
      </w:r>
      <w:r w:rsidR="00EB06B4">
        <w:t>activity.</w:t>
      </w:r>
      <w:r w:rsidR="003658D8">
        <w:t xml:space="preserve"> See </w:t>
      </w:r>
      <w:r w:rsidR="00D24D05">
        <w:t>Photo</w:t>
      </w:r>
      <w:r w:rsidR="003658D8">
        <w:t xml:space="preserve"> below</w:t>
      </w:r>
      <w:r w:rsidR="00D24D05">
        <w:t xml:space="preserve"> showing herbicide damage from treated soil </w:t>
      </w:r>
      <w:r w:rsidR="00502C59">
        <w:t xml:space="preserve">on the bed top. Notice stunted plants where soil is located and no stunting where no soil is on the bed top. </w:t>
      </w:r>
      <w:r w:rsidR="00283F00">
        <w:t>(Bob Hochmuth)</w:t>
      </w:r>
    </w:p>
    <w:p w14:paraId="1C4508D0" w14:textId="77777777" w:rsidR="00850122" w:rsidRDefault="00850122" w:rsidP="00850122">
      <w:pPr>
        <w:pStyle w:val="NormalWeb"/>
      </w:pPr>
      <w:r>
        <w:rPr>
          <w:noProof/>
        </w:rPr>
        <w:lastRenderedPageBreak/>
        <w:drawing>
          <wp:inline distT="0" distB="0" distL="0" distR="0" wp14:anchorId="1F6FDF05" wp14:editId="77EFF0CF">
            <wp:extent cx="2762885" cy="4542790"/>
            <wp:effectExtent l="0" t="0" r="0" b="0"/>
            <wp:docPr id="2" name="Picture 1" descr="A dirt road with a few water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rt road with a few water in i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885" cy="4542790"/>
                    </a:xfrm>
                    <a:prstGeom prst="rect">
                      <a:avLst/>
                    </a:prstGeom>
                    <a:noFill/>
                    <a:ln>
                      <a:noFill/>
                    </a:ln>
                  </pic:spPr>
                </pic:pic>
              </a:graphicData>
            </a:graphic>
          </wp:inline>
        </w:drawing>
      </w:r>
    </w:p>
    <w:p w14:paraId="156578C2" w14:textId="77777777" w:rsidR="00850122" w:rsidRPr="00916AC8" w:rsidRDefault="00850122" w:rsidP="006856AE">
      <w:pPr>
        <w:spacing w:after="0"/>
      </w:pPr>
    </w:p>
    <w:sectPr w:rsidR="00850122" w:rsidRPr="00916AC8">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A6014" w14:textId="77777777" w:rsidR="00F87480" w:rsidRDefault="00F87480" w:rsidP="00AC3364">
      <w:pPr>
        <w:spacing w:after="0" w:line="240" w:lineRule="auto"/>
      </w:pPr>
      <w:r>
        <w:separator/>
      </w:r>
    </w:p>
  </w:endnote>
  <w:endnote w:type="continuationSeparator" w:id="0">
    <w:p w14:paraId="41A9473F" w14:textId="77777777" w:rsidR="00F87480" w:rsidRDefault="00F87480" w:rsidP="00AC3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B12B4" w14:textId="77777777" w:rsidR="00F87480" w:rsidRDefault="00F87480" w:rsidP="00AC3364">
      <w:pPr>
        <w:spacing w:after="0" w:line="240" w:lineRule="auto"/>
      </w:pPr>
      <w:r>
        <w:separator/>
      </w:r>
    </w:p>
  </w:footnote>
  <w:footnote w:type="continuationSeparator" w:id="0">
    <w:p w14:paraId="4B39F5BA" w14:textId="77777777" w:rsidR="00F87480" w:rsidRDefault="00F87480" w:rsidP="00AC33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65A74" w14:textId="77777777" w:rsidR="00471323" w:rsidRDefault="00471323">
    <w:pPr>
      <w:pStyle w:val="Header"/>
    </w:pPr>
  </w:p>
  <w:p w14:paraId="7431784C" w14:textId="77777777" w:rsidR="00471323" w:rsidRDefault="004713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D701D8"/>
    <w:multiLevelType w:val="hybridMultilevel"/>
    <w:tmpl w:val="92704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EDA7240"/>
    <w:multiLevelType w:val="multilevel"/>
    <w:tmpl w:val="B11E5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3391203">
    <w:abstractNumId w:val="0"/>
  </w:num>
  <w:num w:numId="2" w16cid:durableId="13311039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0FC"/>
    <w:rsid w:val="0000082E"/>
    <w:rsid w:val="00011607"/>
    <w:rsid w:val="00012155"/>
    <w:rsid w:val="000220F8"/>
    <w:rsid w:val="000247DC"/>
    <w:rsid w:val="00031EE2"/>
    <w:rsid w:val="00057694"/>
    <w:rsid w:val="00057EA3"/>
    <w:rsid w:val="00067C0B"/>
    <w:rsid w:val="000705A3"/>
    <w:rsid w:val="0007172D"/>
    <w:rsid w:val="00081D2A"/>
    <w:rsid w:val="00087B5E"/>
    <w:rsid w:val="000916CC"/>
    <w:rsid w:val="00096197"/>
    <w:rsid w:val="00097FE8"/>
    <w:rsid w:val="000A532F"/>
    <w:rsid w:val="000A7E79"/>
    <w:rsid w:val="000B2707"/>
    <w:rsid w:val="000B2A90"/>
    <w:rsid w:val="000C288D"/>
    <w:rsid w:val="000D765C"/>
    <w:rsid w:val="000E2AC4"/>
    <w:rsid w:val="0010371E"/>
    <w:rsid w:val="00105861"/>
    <w:rsid w:val="0010732A"/>
    <w:rsid w:val="001117B2"/>
    <w:rsid w:val="0012353F"/>
    <w:rsid w:val="001431C4"/>
    <w:rsid w:val="00144789"/>
    <w:rsid w:val="001479AD"/>
    <w:rsid w:val="00160B6B"/>
    <w:rsid w:val="00164CC3"/>
    <w:rsid w:val="001754D4"/>
    <w:rsid w:val="0017656D"/>
    <w:rsid w:val="001909B7"/>
    <w:rsid w:val="00194894"/>
    <w:rsid w:val="0019605B"/>
    <w:rsid w:val="00196B00"/>
    <w:rsid w:val="001A0B98"/>
    <w:rsid w:val="001B4687"/>
    <w:rsid w:val="001B6BF1"/>
    <w:rsid w:val="001C7284"/>
    <w:rsid w:val="001E654E"/>
    <w:rsid w:val="001F0ABC"/>
    <w:rsid w:val="001F1294"/>
    <w:rsid w:val="00211E96"/>
    <w:rsid w:val="00214451"/>
    <w:rsid w:val="00225922"/>
    <w:rsid w:val="00227C83"/>
    <w:rsid w:val="00234247"/>
    <w:rsid w:val="00243E21"/>
    <w:rsid w:val="002533A2"/>
    <w:rsid w:val="00283F00"/>
    <w:rsid w:val="002A6D21"/>
    <w:rsid w:val="002B082F"/>
    <w:rsid w:val="002B4F51"/>
    <w:rsid w:val="002C6E6F"/>
    <w:rsid w:val="002D3721"/>
    <w:rsid w:val="002D4655"/>
    <w:rsid w:val="002E4D77"/>
    <w:rsid w:val="002E5455"/>
    <w:rsid w:val="002F1199"/>
    <w:rsid w:val="002F2A19"/>
    <w:rsid w:val="002F36E1"/>
    <w:rsid w:val="00312D41"/>
    <w:rsid w:val="00323DB3"/>
    <w:rsid w:val="00327DD3"/>
    <w:rsid w:val="003400FC"/>
    <w:rsid w:val="003615F7"/>
    <w:rsid w:val="00361D37"/>
    <w:rsid w:val="0036306F"/>
    <w:rsid w:val="003658D8"/>
    <w:rsid w:val="003679EA"/>
    <w:rsid w:val="00367FE5"/>
    <w:rsid w:val="0037019A"/>
    <w:rsid w:val="00375603"/>
    <w:rsid w:val="003771A6"/>
    <w:rsid w:val="003776D0"/>
    <w:rsid w:val="0038581D"/>
    <w:rsid w:val="00390405"/>
    <w:rsid w:val="00391D10"/>
    <w:rsid w:val="00392B99"/>
    <w:rsid w:val="00394EC5"/>
    <w:rsid w:val="003A0A37"/>
    <w:rsid w:val="003E06F6"/>
    <w:rsid w:val="003E3B10"/>
    <w:rsid w:val="003E6F46"/>
    <w:rsid w:val="00401618"/>
    <w:rsid w:val="004127F3"/>
    <w:rsid w:val="0042053F"/>
    <w:rsid w:val="004307C8"/>
    <w:rsid w:val="00431650"/>
    <w:rsid w:val="004577AD"/>
    <w:rsid w:val="00463070"/>
    <w:rsid w:val="00471323"/>
    <w:rsid w:val="00471EBF"/>
    <w:rsid w:val="00473B9D"/>
    <w:rsid w:val="0047443C"/>
    <w:rsid w:val="0048288F"/>
    <w:rsid w:val="00484388"/>
    <w:rsid w:val="0049367F"/>
    <w:rsid w:val="004943DD"/>
    <w:rsid w:val="00495C0F"/>
    <w:rsid w:val="004A0D5D"/>
    <w:rsid w:val="004A2C3A"/>
    <w:rsid w:val="004A5C41"/>
    <w:rsid w:val="004A73FF"/>
    <w:rsid w:val="004B6EE0"/>
    <w:rsid w:val="004D20CB"/>
    <w:rsid w:val="004D43C3"/>
    <w:rsid w:val="004D4AF7"/>
    <w:rsid w:val="004F40F0"/>
    <w:rsid w:val="00502C59"/>
    <w:rsid w:val="005108F4"/>
    <w:rsid w:val="00513753"/>
    <w:rsid w:val="00521340"/>
    <w:rsid w:val="00531F1D"/>
    <w:rsid w:val="00535094"/>
    <w:rsid w:val="00544387"/>
    <w:rsid w:val="0055378E"/>
    <w:rsid w:val="005648C0"/>
    <w:rsid w:val="005740E6"/>
    <w:rsid w:val="00585DAB"/>
    <w:rsid w:val="005942F8"/>
    <w:rsid w:val="0059440B"/>
    <w:rsid w:val="005C77F5"/>
    <w:rsid w:val="005C7861"/>
    <w:rsid w:val="005D166E"/>
    <w:rsid w:val="005D5D96"/>
    <w:rsid w:val="005E4028"/>
    <w:rsid w:val="005E6344"/>
    <w:rsid w:val="005E6F98"/>
    <w:rsid w:val="005F3FAE"/>
    <w:rsid w:val="005F45CD"/>
    <w:rsid w:val="005F5716"/>
    <w:rsid w:val="006035A8"/>
    <w:rsid w:val="00605A0A"/>
    <w:rsid w:val="00606E35"/>
    <w:rsid w:val="006139CF"/>
    <w:rsid w:val="00621A4A"/>
    <w:rsid w:val="00624AAB"/>
    <w:rsid w:val="00633043"/>
    <w:rsid w:val="00640E6B"/>
    <w:rsid w:val="00643F12"/>
    <w:rsid w:val="00646E97"/>
    <w:rsid w:val="00652972"/>
    <w:rsid w:val="00664799"/>
    <w:rsid w:val="00672199"/>
    <w:rsid w:val="006856AE"/>
    <w:rsid w:val="00686706"/>
    <w:rsid w:val="006A208A"/>
    <w:rsid w:val="006A2EDD"/>
    <w:rsid w:val="006A7122"/>
    <w:rsid w:val="006B26B7"/>
    <w:rsid w:val="006C1EEF"/>
    <w:rsid w:val="006C1FE5"/>
    <w:rsid w:val="006C2460"/>
    <w:rsid w:val="006E6B61"/>
    <w:rsid w:val="007059D8"/>
    <w:rsid w:val="007106BC"/>
    <w:rsid w:val="00723D58"/>
    <w:rsid w:val="00723E1F"/>
    <w:rsid w:val="00745523"/>
    <w:rsid w:val="007571B1"/>
    <w:rsid w:val="00757C7D"/>
    <w:rsid w:val="00766F58"/>
    <w:rsid w:val="00790CAB"/>
    <w:rsid w:val="00794272"/>
    <w:rsid w:val="007A36C9"/>
    <w:rsid w:val="007A693F"/>
    <w:rsid w:val="007B1023"/>
    <w:rsid w:val="007C482B"/>
    <w:rsid w:val="007F55DF"/>
    <w:rsid w:val="007F7DD5"/>
    <w:rsid w:val="008138A4"/>
    <w:rsid w:val="00824C55"/>
    <w:rsid w:val="00825AE5"/>
    <w:rsid w:val="00841B43"/>
    <w:rsid w:val="00847E6A"/>
    <w:rsid w:val="00850122"/>
    <w:rsid w:val="00852D26"/>
    <w:rsid w:val="008A2923"/>
    <w:rsid w:val="008A3866"/>
    <w:rsid w:val="008A50FC"/>
    <w:rsid w:val="008A7DAD"/>
    <w:rsid w:val="008B253E"/>
    <w:rsid w:val="008B4A46"/>
    <w:rsid w:val="008E6C20"/>
    <w:rsid w:val="009016A0"/>
    <w:rsid w:val="00901B36"/>
    <w:rsid w:val="0090291F"/>
    <w:rsid w:val="009127C3"/>
    <w:rsid w:val="00916AC8"/>
    <w:rsid w:val="0092116E"/>
    <w:rsid w:val="00923AF4"/>
    <w:rsid w:val="00941B5F"/>
    <w:rsid w:val="00944BCA"/>
    <w:rsid w:val="009528FD"/>
    <w:rsid w:val="00954F6C"/>
    <w:rsid w:val="009555F2"/>
    <w:rsid w:val="00955E7A"/>
    <w:rsid w:val="00962453"/>
    <w:rsid w:val="00965E31"/>
    <w:rsid w:val="009A04AD"/>
    <w:rsid w:val="009B3503"/>
    <w:rsid w:val="009B4AFF"/>
    <w:rsid w:val="009D3292"/>
    <w:rsid w:val="009D3A0B"/>
    <w:rsid w:val="009E5CCF"/>
    <w:rsid w:val="00A13F36"/>
    <w:rsid w:val="00A17A01"/>
    <w:rsid w:val="00A240B5"/>
    <w:rsid w:val="00A3104E"/>
    <w:rsid w:val="00A418D4"/>
    <w:rsid w:val="00A70E84"/>
    <w:rsid w:val="00A7174D"/>
    <w:rsid w:val="00A82169"/>
    <w:rsid w:val="00A82CF3"/>
    <w:rsid w:val="00AB02A8"/>
    <w:rsid w:val="00AB04D0"/>
    <w:rsid w:val="00AB203B"/>
    <w:rsid w:val="00AC3364"/>
    <w:rsid w:val="00AD486E"/>
    <w:rsid w:val="00AD51EB"/>
    <w:rsid w:val="00AD5530"/>
    <w:rsid w:val="00AD72A5"/>
    <w:rsid w:val="00AE401E"/>
    <w:rsid w:val="00AF10CB"/>
    <w:rsid w:val="00AF4144"/>
    <w:rsid w:val="00B00DB6"/>
    <w:rsid w:val="00B0324B"/>
    <w:rsid w:val="00B104AF"/>
    <w:rsid w:val="00B108E7"/>
    <w:rsid w:val="00B20ECC"/>
    <w:rsid w:val="00B24E51"/>
    <w:rsid w:val="00B30817"/>
    <w:rsid w:val="00B30BAD"/>
    <w:rsid w:val="00B33A32"/>
    <w:rsid w:val="00B40A68"/>
    <w:rsid w:val="00B413A3"/>
    <w:rsid w:val="00B43429"/>
    <w:rsid w:val="00B52E2B"/>
    <w:rsid w:val="00B80EF3"/>
    <w:rsid w:val="00B86319"/>
    <w:rsid w:val="00B87CC0"/>
    <w:rsid w:val="00B973BD"/>
    <w:rsid w:val="00BB3AE9"/>
    <w:rsid w:val="00BB7888"/>
    <w:rsid w:val="00BC1FE5"/>
    <w:rsid w:val="00BC3F2C"/>
    <w:rsid w:val="00BD7E70"/>
    <w:rsid w:val="00BF41E6"/>
    <w:rsid w:val="00C26891"/>
    <w:rsid w:val="00C27048"/>
    <w:rsid w:val="00C37406"/>
    <w:rsid w:val="00C457C9"/>
    <w:rsid w:val="00C51CA0"/>
    <w:rsid w:val="00C6184F"/>
    <w:rsid w:val="00C65752"/>
    <w:rsid w:val="00C67E24"/>
    <w:rsid w:val="00C9623A"/>
    <w:rsid w:val="00CB0AE0"/>
    <w:rsid w:val="00CB73BA"/>
    <w:rsid w:val="00CC05C3"/>
    <w:rsid w:val="00CD1618"/>
    <w:rsid w:val="00CD16C1"/>
    <w:rsid w:val="00CD6BDB"/>
    <w:rsid w:val="00CE16CE"/>
    <w:rsid w:val="00CE770C"/>
    <w:rsid w:val="00CF0F3D"/>
    <w:rsid w:val="00D0174A"/>
    <w:rsid w:val="00D055E7"/>
    <w:rsid w:val="00D166BE"/>
    <w:rsid w:val="00D24D05"/>
    <w:rsid w:val="00D258C8"/>
    <w:rsid w:val="00D340C5"/>
    <w:rsid w:val="00D35260"/>
    <w:rsid w:val="00D365C4"/>
    <w:rsid w:val="00D41733"/>
    <w:rsid w:val="00D53561"/>
    <w:rsid w:val="00D63DED"/>
    <w:rsid w:val="00D65554"/>
    <w:rsid w:val="00D81BDA"/>
    <w:rsid w:val="00DA3455"/>
    <w:rsid w:val="00DA6488"/>
    <w:rsid w:val="00DB12D3"/>
    <w:rsid w:val="00DC79AD"/>
    <w:rsid w:val="00DD5A92"/>
    <w:rsid w:val="00DE2FED"/>
    <w:rsid w:val="00DE4570"/>
    <w:rsid w:val="00DE7B28"/>
    <w:rsid w:val="00DF4D60"/>
    <w:rsid w:val="00DF54BF"/>
    <w:rsid w:val="00E31F6C"/>
    <w:rsid w:val="00E40585"/>
    <w:rsid w:val="00E510E7"/>
    <w:rsid w:val="00E66B8B"/>
    <w:rsid w:val="00E67352"/>
    <w:rsid w:val="00E757BE"/>
    <w:rsid w:val="00E8744E"/>
    <w:rsid w:val="00E90DBA"/>
    <w:rsid w:val="00E93562"/>
    <w:rsid w:val="00EB06B4"/>
    <w:rsid w:val="00EB29B8"/>
    <w:rsid w:val="00EC51A4"/>
    <w:rsid w:val="00ED0747"/>
    <w:rsid w:val="00ED0C89"/>
    <w:rsid w:val="00ED7EB7"/>
    <w:rsid w:val="00EF3342"/>
    <w:rsid w:val="00EF4B39"/>
    <w:rsid w:val="00F06268"/>
    <w:rsid w:val="00F36C13"/>
    <w:rsid w:val="00F3731A"/>
    <w:rsid w:val="00F46C17"/>
    <w:rsid w:val="00F63132"/>
    <w:rsid w:val="00F851EB"/>
    <w:rsid w:val="00F853A8"/>
    <w:rsid w:val="00F86A0B"/>
    <w:rsid w:val="00F87480"/>
    <w:rsid w:val="00F92916"/>
    <w:rsid w:val="00FA5D8F"/>
    <w:rsid w:val="00FB73DD"/>
    <w:rsid w:val="00FC28F7"/>
    <w:rsid w:val="00FC643A"/>
    <w:rsid w:val="00FC6CD7"/>
    <w:rsid w:val="00FD57D5"/>
    <w:rsid w:val="00FE2846"/>
    <w:rsid w:val="00FE4398"/>
    <w:rsid w:val="00FF590A"/>
    <w:rsid w:val="00FF5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B6AC6"/>
  <w15:chartTrackingRefBased/>
  <w15:docId w15:val="{671A2870-DCD7-47AB-BD2F-4A9A1C6E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57D5"/>
    <w:pPr>
      <w:ind w:left="720"/>
      <w:contextualSpacing/>
    </w:pPr>
  </w:style>
  <w:style w:type="character" w:styleId="Hyperlink">
    <w:name w:val="Hyperlink"/>
    <w:basedOn w:val="DefaultParagraphFont"/>
    <w:uiPriority w:val="99"/>
    <w:unhideWhenUsed/>
    <w:rsid w:val="003E6F46"/>
    <w:rPr>
      <w:color w:val="0563C1" w:themeColor="hyperlink"/>
      <w:u w:val="single"/>
    </w:rPr>
  </w:style>
  <w:style w:type="character" w:styleId="UnresolvedMention">
    <w:name w:val="Unresolved Mention"/>
    <w:basedOn w:val="DefaultParagraphFont"/>
    <w:uiPriority w:val="99"/>
    <w:semiHidden/>
    <w:unhideWhenUsed/>
    <w:rsid w:val="003E6F46"/>
    <w:rPr>
      <w:color w:val="605E5C"/>
      <w:shd w:val="clear" w:color="auto" w:fill="E1DFDD"/>
    </w:rPr>
  </w:style>
  <w:style w:type="paragraph" w:styleId="Header">
    <w:name w:val="header"/>
    <w:basedOn w:val="Normal"/>
    <w:link w:val="HeaderChar"/>
    <w:uiPriority w:val="99"/>
    <w:unhideWhenUsed/>
    <w:rsid w:val="00AC33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364"/>
  </w:style>
  <w:style w:type="paragraph" w:styleId="Footer">
    <w:name w:val="footer"/>
    <w:basedOn w:val="Normal"/>
    <w:link w:val="FooterChar"/>
    <w:uiPriority w:val="99"/>
    <w:unhideWhenUsed/>
    <w:rsid w:val="00AC33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364"/>
  </w:style>
  <w:style w:type="paragraph" w:styleId="NormalWeb">
    <w:name w:val="Normal (Web)"/>
    <w:basedOn w:val="Normal"/>
    <w:uiPriority w:val="99"/>
    <w:semiHidden/>
    <w:unhideWhenUsed/>
    <w:rsid w:val="0085012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5297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733980">
      <w:bodyDiv w:val="1"/>
      <w:marLeft w:val="0"/>
      <w:marRight w:val="0"/>
      <w:marTop w:val="0"/>
      <w:marBottom w:val="0"/>
      <w:divBdr>
        <w:top w:val="none" w:sz="0" w:space="0" w:color="auto"/>
        <w:left w:val="none" w:sz="0" w:space="0" w:color="auto"/>
        <w:bottom w:val="none" w:sz="0" w:space="0" w:color="auto"/>
        <w:right w:val="none" w:sz="0" w:space="0" w:color="auto"/>
      </w:divBdr>
    </w:div>
    <w:div w:id="739136342">
      <w:bodyDiv w:val="1"/>
      <w:marLeft w:val="0"/>
      <w:marRight w:val="0"/>
      <w:marTop w:val="0"/>
      <w:marBottom w:val="0"/>
      <w:divBdr>
        <w:top w:val="none" w:sz="0" w:space="0" w:color="auto"/>
        <w:left w:val="none" w:sz="0" w:space="0" w:color="auto"/>
        <w:bottom w:val="none" w:sz="0" w:space="0" w:color="auto"/>
        <w:right w:val="none" w:sz="0" w:space="0" w:color="auto"/>
      </w:divBdr>
    </w:div>
    <w:div w:id="1155804889">
      <w:bodyDiv w:val="1"/>
      <w:marLeft w:val="0"/>
      <w:marRight w:val="0"/>
      <w:marTop w:val="0"/>
      <w:marBottom w:val="0"/>
      <w:divBdr>
        <w:top w:val="none" w:sz="0" w:space="0" w:color="auto"/>
        <w:left w:val="none" w:sz="0" w:space="0" w:color="auto"/>
        <w:bottom w:val="none" w:sz="0" w:space="0" w:color="auto"/>
        <w:right w:val="none" w:sz="0" w:space="0" w:color="auto"/>
      </w:divBdr>
    </w:div>
    <w:div w:id="1355106896">
      <w:bodyDiv w:val="1"/>
      <w:marLeft w:val="0"/>
      <w:marRight w:val="0"/>
      <w:marTop w:val="0"/>
      <w:marBottom w:val="0"/>
      <w:divBdr>
        <w:top w:val="none" w:sz="0" w:space="0" w:color="auto"/>
        <w:left w:val="none" w:sz="0" w:space="0" w:color="auto"/>
        <w:bottom w:val="none" w:sz="0" w:space="0" w:color="auto"/>
        <w:right w:val="none" w:sz="0" w:space="0" w:color="auto"/>
      </w:divBdr>
    </w:div>
    <w:div w:id="1812550969">
      <w:bodyDiv w:val="1"/>
      <w:marLeft w:val="0"/>
      <w:marRight w:val="0"/>
      <w:marTop w:val="0"/>
      <w:marBottom w:val="0"/>
      <w:divBdr>
        <w:top w:val="none" w:sz="0" w:space="0" w:color="auto"/>
        <w:left w:val="none" w:sz="0" w:space="0" w:color="auto"/>
        <w:bottom w:val="none" w:sz="0" w:space="0" w:color="auto"/>
        <w:right w:val="none" w:sz="0" w:space="0" w:color="auto"/>
      </w:divBdr>
    </w:div>
    <w:div w:id="198450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bobhoch@ufl.edu"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5</Pages>
  <Words>1205</Words>
  <Characters>6869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Hochmuth,Robert Conway</dc:creator>
  <cp:keywords/>
  <dc:description/>
  <cp:lastModifiedBy>Hochmuth,Robert Conway</cp:lastModifiedBy>
  <cp:revision>46</cp:revision>
  <dcterms:created xsi:type="dcterms:W3CDTF">2025-03-30T22:30:00Z</dcterms:created>
  <dcterms:modified xsi:type="dcterms:W3CDTF">2025-03-30T23:18:00Z</dcterms:modified>
</cp:coreProperties>
</file>