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Default="00431650" w:rsidP="00D81BDA">
      <w:pPr>
        <w:rPr>
          <w:b/>
          <w:bCs/>
        </w:rPr>
      </w:pPr>
      <w:r>
        <w:rPr>
          <w:b/>
          <w:bCs/>
        </w:rPr>
        <w:t xml:space="preserve">Welcome to </w:t>
      </w:r>
      <w:r w:rsidR="00A941E1">
        <w:rPr>
          <w:b/>
          <w:bCs/>
        </w:rPr>
        <w:t>this week’s</w:t>
      </w:r>
      <w:r w:rsidR="00944BCA">
        <w:rPr>
          <w:b/>
          <w:bCs/>
        </w:rPr>
        <w:t xml:space="preserve"> 2022 season’s</w:t>
      </w:r>
      <w:r>
        <w:rPr>
          <w:b/>
          <w:bCs/>
        </w:rPr>
        <w:t xml:space="preserve"> weekly issue of our UF/IFAS Extension Suwannee Valley Watermelon Crop Update. </w:t>
      </w:r>
      <w:r w:rsidR="00686706">
        <w:rPr>
          <w:b/>
          <w:bCs/>
        </w:rPr>
        <w:t xml:space="preserve">These updates </w:t>
      </w:r>
      <w:r w:rsidR="00A941E1">
        <w:rPr>
          <w:b/>
          <w:bCs/>
        </w:rPr>
        <w:t>are</w:t>
      </w:r>
      <w:r w:rsidR="00686706">
        <w:rPr>
          <w:b/>
          <w:bCs/>
        </w:rPr>
        <w:t xml:space="preserve"> s</w:t>
      </w:r>
      <w:r>
        <w:rPr>
          <w:b/>
          <w:bCs/>
        </w:rPr>
        <w:t>ummarized by Bob Hochmuth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(Union)</w:t>
      </w:r>
      <w:r>
        <w:rPr>
          <w:b/>
          <w:bCs/>
        </w:rPr>
        <w:t>, Jay Capasso</w:t>
      </w:r>
      <w:r w:rsidR="00944BCA">
        <w:rPr>
          <w:b/>
          <w:bCs/>
        </w:rPr>
        <w:t xml:space="preserve"> (Columbia)</w:t>
      </w:r>
      <w:r>
        <w:rPr>
          <w:b/>
          <w:bCs/>
        </w:rPr>
        <w:t>, Dan Fenneman</w:t>
      </w:r>
      <w:r w:rsidR="00944BCA">
        <w:rPr>
          <w:b/>
          <w:bCs/>
        </w:rPr>
        <w:t xml:space="preserve"> (Madison)</w:t>
      </w:r>
      <w:r>
        <w:rPr>
          <w:b/>
          <w:bCs/>
        </w:rPr>
        <w:t>, Keith Wynn</w:t>
      </w:r>
      <w:r w:rsidR="00944BCA">
        <w:rPr>
          <w:b/>
          <w:bCs/>
        </w:rPr>
        <w:t xml:space="preserve"> (Hamilton)</w:t>
      </w:r>
      <w:r>
        <w:rPr>
          <w:b/>
          <w:bCs/>
        </w:rPr>
        <w:t>, Danielle Sprague</w:t>
      </w:r>
      <w:r w:rsidR="00944BCA">
        <w:rPr>
          <w:b/>
          <w:bCs/>
        </w:rPr>
        <w:t xml:space="preserve"> (Jefferson)</w:t>
      </w:r>
      <w:r w:rsidR="00A13F36">
        <w:rPr>
          <w:b/>
          <w:bCs/>
        </w:rPr>
        <w:t>,</w:t>
      </w:r>
      <w:r w:rsidR="00944BCA">
        <w:rPr>
          <w:b/>
          <w:bCs/>
        </w:rPr>
        <w:t xml:space="preserve"> Emily Beach (Lafayette), Amanda Phillips (Suwannee),</w:t>
      </w:r>
      <w:r w:rsidR="00A13F36">
        <w:rPr>
          <w:b/>
          <w:bCs/>
        </w:rPr>
        <w:t xml:space="preserve"> Kevin Athearn</w:t>
      </w:r>
      <w:r w:rsidR="00944BCA">
        <w:rPr>
          <w:b/>
          <w:bCs/>
        </w:rPr>
        <w:t xml:space="preserve"> (RSA-Agri- business)</w:t>
      </w:r>
      <w:r w:rsidR="00A13F36">
        <w:rPr>
          <w:b/>
          <w:bCs/>
        </w:rPr>
        <w:t xml:space="preserve">, and </w:t>
      </w:r>
      <w:r w:rsidR="00944BCA">
        <w:rPr>
          <w:b/>
          <w:bCs/>
        </w:rPr>
        <w:t>Sudeep Sidhu (</w:t>
      </w:r>
      <w:r w:rsidR="003400FC">
        <w:rPr>
          <w:b/>
          <w:bCs/>
        </w:rPr>
        <w:t xml:space="preserve">RSA- </w:t>
      </w:r>
      <w:r w:rsidR="00944BCA">
        <w:rPr>
          <w:b/>
          <w:bCs/>
        </w:rPr>
        <w:t>Water Resources)</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58D80B98" w14:textId="7418959F" w:rsidR="00D81BDA" w:rsidRPr="00825AE5" w:rsidRDefault="00431650" w:rsidP="00686706">
      <w:pPr>
        <w:spacing w:after="0"/>
        <w:rPr>
          <w:b/>
          <w:bCs/>
        </w:rPr>
      </w:pPr>
      <w:r>
        <w:rPr>
          <w:b/>
          <w:bCs/>
        </w:rPr>
        <w:t xml:space="preserve">Thank You to the </w:t>
      </w:r>
      <w:r w:rsidR="00AB203B">
        <w:rPr>
          <w:b/>
          <w:bCs/>
        </w:rPr>
        <w:t xml:space="preserve">2022 </w:t>
      </w:r>
      <w:r w:rsidR="00D81BDA" w:rsidRPr="00825AE5">
        <w:rPr>
          <w:b/>
          <w:bCs/>
        </w:rPr>
        <w:t>S</w:t>
      </w:r>
      <w:r w:rsidR="00D81BDA">
        <w:rPr>
          <w:b/>
          <w:bCs/>
        </w:rPr>
        <w:t xml:space="preserve">uwannee </w:t>
      </w:r>
      <w:r w:rsidR="00D81BDA" w:rsidRPr="00825AE5">
        <w:rPr>
          <w:b/>
          <w:bCs/>
        </w:rPr>
        <w:t>V</w:t>
      </w:r>
      <w:r w:rsidR="00D81BDA">
        <w:rPr>
          <w:b/>
          <w:bCs/>
        </w:rPr>
        <w:t>alley</w:t>
      </w:r>
      <w:r w:rsidR="00D81BDA" w:rsidRPr="00825AE5">
        <w:rPr>
          <w:b/>
          <w:bCs/>
        </w:rPr>
        <w:t xml:space="preserve"> Rapid Diagnostic Watermelon Program</w:t>
      </w:r>
      <w:r>
        <w:rPr>
          <w:b/>
          <w:bCs/>
        </w:rPr>
        <w:t xml:space="preserve"> and Its Industry</w:t>
      </w:r>
      <w:r w:rsidR="003E6F46">
        <w:rPr>
          <w:b/>
          <w:bCs/>
        </w:rPr>
        <w:t xml:space="preserve"> Sponsors</w:t>
      </w:r>
      <w:r w:rsidR="00D81BDA" w:rsidRPr="00825AE5">
        <w:rPr>
          <w:b/>
          <w:bCs/>
        </w:rPr>
        <w:t>:</w:t>
      </w:r>
    </w:p>
    <w:p w14:paraId="734199C3" w14:textId="5C537AEC" w:rsidR="00D81BDA" w:rsidRP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We want to thank</w:t>
      </w:r>
      <w:r w:rsidR="00431650">
        <w:rPr>
          <w:b/>
          <w:bCs/>
        </w:rPr>
        <w:t xml:space="preserve"> the</w:t>
      </w:r>
      <w:r w:rsidR="003961CF">
        <w:rPr>
          <w:b/>
          <w:bCs/>
        </w:rPr>
        <w:t xml:space="preserve"> 2022</w:t>
      </w:r>
      <w:r w:rsidR="00057694">
        <w:rPr>
          <w:b/>
          <w:bCs/>
        </w:rPr>
        <w:t xml:space="preserve"> </w:t>
      </w:r>
      <w:r w:rsidR="00431650">
        <w:rPr>
          <w:b/>
          <w:bCs/>
        </w:rPr>
        <w:t>sponsors of this program:</w:t>
      </w:r>
      <w:r w:rsidRPr="00D81BDA">
        <w:rPr>
          <w:b/>
          <w:bCs/>
        </w:rPr>
        <w:t xml:space="preserve"> Syngenta Crop Protection, </w:t>
      </w:r>
      <w:r w:rsidR="008A2923">
        <w:rPr>
          <w:b/>
          <w:bCs/>
        </w:rPr>
        <w:t xml:space="preserve">Glades Crop Care, </w:t>
      </w:r>
      <w:r w:rsidR="00E454F8">
        <w:rPr>
          <w:b/>
          <w:bCs/>
        </w:rPr>
        <w:t>TriEst Ag Group,</w:t>
      </w:r>
      <w:r w:rsidR="003961CF">
        <w:rPr>
          <w:b/>
          <w:bCs/>
        </w:rPr>
        <w:t xml:space="preserve"> Gowan USA,</w:t>
      </w:r>
      <w:r w:rsidR="001A52A9">
        <w:rPr>
          <w:b/>
          <w:bCs/>
        </w:rPr>
        <w:t xml:space="preserve"> </w:t>
      </w:r>
      <w:r w:rsidR="00B413A3" w:rsidRPr="00B413A3">
        <w:rPr>
          <w:b/>
          <w:bCs/>
        </w:rPr>
        <w:t>Summit Agro-USA</w:t>
      </w:r>
      <w:r w:rsidR="003961CF">
        <w:rPr>
          <w:b/>
          <w:bCs/>
        </w:rPr>
        <w:t>, and Harrell’s Fertilizer</w:t>
      </w:r>
      <w:r w:rsidR="00B413A3">
        <w:rPr>
          <w:b/>
          <w:bCs/>
        </w:rPr>
        <w:t xml:space="preserve"> </w:t>
      </w:r>
      <w:r w:rsidRPr="00D81BDA">
        <w:rPr>
          <w:b/>
          <w:bCs/>
        </w:rPr>
        <w:t>for sponsoring this effort.</w:t>
      </w:r>
      <w:r w:rsidR="00E40585">
        <w:rPr>
          <w:b/>
          <w:bCs/>
        </w:rPr>
        <w:t xml:space="preserve"> </w:t>
      </w:r>
      <w:bookmarkEnd w:id="1"/>
      <w:r w:rsidR="00431650">
        <w:rPr>
          <w:b/>
          <w:bCs/>
        </w:rPr>
        <w:t>Other i</w:t>
      </w:r>
      <w:r w:rsidR="00E40585">
        <w:rPr>
          <w:b/>
          <w:bCs/>
        </w:rPr>
        <w:t>ndustry reps interested in sponsoring this effort</w:t>
      </w:r>
      <w:r w:rsidR="00431650">
        <w:rPr>
          <w:b/>
          <w:bCs/>
        </w:rPr>
        <w:t xml:space="preserve"> 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50E99596" w14:textId="77777777" w:rsidR="00AB203B" w:rsidRDefault="00AB203B" w:rsidP="00686706">
      <w:pPr>
        <w:spacing w:after="0"/>
        <w:rPr>
          <w:b/>
          <w:bCs/>
        </w:rPr>
      </w:pPr>
    </w:p>
    <w:p w14:paraId="105091AE" w14:textId="78BB092F" w:rsidR="00C818E1" w:rsidRDefault="002A252A" w:rsidP="00C818E1">
      <w:pPr>
        <w:pStyle w:val="paragraph"/>
        <w:shd w:val="clear" w:color="auto" w:fill="FFFFFF"/>
        <w:rPr>
          <w:rStyle w:val="normaltextrun"/>
          <w:b/>
          <w:bCs/>
        </w:rPr>
      </w:pPr>
      <w:r>
        <w:rPr>
          <w:rStyle w:val="normaltextrun"/>
          <w:b/>
          <w:bCs/>
        </w:rPr>
        <w:t>Continued d</w:t>
      </w:r>
      <w:r w:rsidR="00C818E1">
        <w:rPr>
          <w:rStyle w:val="normaltextrun"/>
          <w:b/>
          <w:bCs/>
        </w:rPr>
        <w:t>isease management</w:t>
      </w:r>
      <w:r w:rsidR="00C818E1" w:rsidRPr="00C818E1">
        <w:rPr>
          <w:rStyle w:val="normaltextrun"/>
          <w:b/>
          <w:bCs/>
        </w:rPr>
        <w:t xml:space="preserve"> after the freeze</w:t>
      </w:r>
      <w:r w:rsidR="00C818E1">
        <w:rPr>
          <w:rStyle w:val="normaltextrun"/>
          <w:b/>
          <w:bCs/>
        </w:rPr>
        <w:t>:</w:t>
      </w:r>
    </w:p>
    <w:p w14:paraId="609CBE67" w14:textId="384D80BD" w:rsidR="00C818E1" w:rsidRPr="00C818E1" w:rsidRDefault="00C818E1" w:rsidP="00C818E1">
      <w:pPr>
        <w:pStyle w:val="paragraph"/>
        <w:shd w:val="clear" w:color="auto" w:fill="FFFFFF"/>
        <w:rPr>
          <w:rFonts w:ascii="Segoe UI" w:hAnsi="Segoe UI" w:cs="Segoe UI"/>
          <w:b/>
          <w:bCs/>
          <w:sz w:val="18"/>
          <w:szCs w:val="18"/>
        </w:rPr>
      </w:pPr>
      <w:r w:rsidRPr="00C818E1">
        <w:rPr>
          <w:rStyle w:val="eop"/>
          <w:b/>
          <w:bCs/>
        </w:rPr>
        <w:t> </w:t>
      </w:r>
    </w:p>
    <w:p w14:paraId="01525D18" w14:textId="0E21E83D" w:rsidR="00C818E1" w:rsidRDefault="002A252A" w:rsidP="00C818E1">
      <w:pPr>
        <w:rPr>
          <w:rStyle w:val="normaltextrun"/>
        </w:rPr>
      </w:pPr>
      <w:r>
        <w:rPr>
          <w:rStyle w:val="normaltextrun"/>
        </w:rPr>
        <w:t>As a follow up to the second week after the freeze, we want to review our suggestions.</w:t>
      </w:r>
      <w:r w:rsidR="00346340">
        <w:rPr>
          <w:rStyle w:val="normaltextrun"/>
        </w:rPr>
        <w:t xml:space="preserve"> Damaged plant began to show new growth and significant recovery at the end of last week. The warm sunny days at the</w:t>
      </w:r>
      <w:r w:rsidR="001C2323">
        <w:rPr>
          <w:rStyle w:val="normaltextrun"/>
        </w:rPr>
        <w:t xml:space="preserve"> end of the week is just what the plants needed. </w:t>
      </w:r>
      <w:r>
        <w:rPr>
          <w:rStyle w:val="normaltextrun"/>
        </w:rPr>
        <w:t xml:space="preserve"> </w:t>
      </w:r>
      <w:r w:rsidR="001C2323">
        <w:rPr>
          <w:rStyle w:val="normaltextrun"/>
        </w:rPr>
        <w:t xml:space="preserve">Our suggestion is to keep it simple and let the plants recover. Cocktail mixtures of foliar fertilizers and fungicides as well as other ingredients often do more damage (leaf burn) than good. </w:t>
      </w:r>
      <w:r w:rsidR="00C818E1">
        <w:rPr>
          <w:rStyle w:val="normaltextrun"/>
        </w:rPr>
        <w:t>As you monitor your fields for cold damage, scout for disease</w:t>
      </w:r>
      <w:r w:rsidR="001C2323">
        <w:rPr>
          <w:rStyle w:val="normaltextrun"/>
        </w:rPr>
        <w:t xml:space="preserve"> also</w:t>
      </w:r>
      <w:r w:rsidR="00C818E1">
        <w:rPr>
          <w:rStyle w:val="normaltextrun"/>
        </w:rPr>
        <w:t xml:space="preserve">. Following a cold/rainy period, an outbreak of the bacteria, </w:t>
      </w:r>
      <w:r w:rsidR="00C818E1" w:rsidRPr="00225064">
        <w:rPr>
          <w:rStyle w:val="normaltextrun"/>
          <w:i/>
          <w:iCs/>
        </w:rPr>
        <w:t>Pseudomonas</w:t>
      </w:r>
      <w:r w:rsidR="00C818E1">
        <w:rPr>
          <w:rStyle w:val="normaltextrun"/>
        </w:rPr>
        <w:t xml:space="preserve"> (angular leaf spot) could be possible.</w:t>
      </w:r>
      <w:r>
        <w:rPr>
          <w:rStyle w:val="normaltextrun"/>
        </w:rPr>
        <w:t xml:space="preserve"> We have one sample being analyzed for bacteria now and we highly suspect it will confirm bacteria (angular leaf spot).</w:t>
      </w:r>
      <w:r w:rsidR="00C818E1">
        <w:rPr>
          <w:rStyle w:val="normaltextrun"/>
        </w:rPr>
        <w:t> Lesions start small and circular and become irregular in shape with a dark color as they progress. If you suspect bacterial symptoms at your fields, we recommend spraying with a low to medium rate of copper in combination with mancozeb (Manzate, Penncozeb, etc). Remember high rates of copper are toxic to watermelon plants and we don’t want to use copper on recovering plants after a freeze unless absolutely needed. On the other hand,</w:t>
      </w:r>
      <w:r w:rsidR="00346340">
        <w:rPr>
          <w:rStyle w:val="normaltextrun"/>
        </w:rPr>
        <w:t xml:space="preserve"> most fields</w:t>
      </w:r>
      <w:r w:rsidR="001C2323">
        <w:rPr>
          <w:rStyle w:val="normaltextrun"/>
        </w:rPr>
        <w:t xml:space="preserve"> in the region</w:t>
      </w:r>
      <w:r w:rsidR="00346340">
        <w:rPr>
          <w:rStyle w:val="normaltextrun"/>
        </w:rPr>
        <w:t xml:space="preserve"> do not show bacterial symptoms. I</w:t>
      </w:r>
      <w:r w:rsidR="00C818E1">
        <w:rPr>
          <w:rStyle w:val="normaltextrun"/>
        </w:rPr>
        <w:t>f bacterial diseases are not a concern</w:t>
      </w:r>
      <w:r w:rsidR="001C2323">
        <w:rPr>
          <w:rStyle w:val="normaltextrun"/>
        </w:rPr>
        <w:t xml:space="preserve"> in your fields</w:t>
      </w:r>
      <w:r w:rsidR="00C818E1">
        <w:rPr>
          <w:rStyle w:val="normaltextrun"/>
        </w:rPr>
        <w:t>, we recommend an application</w:t>
      </w:r>
      <w:r w:rsidR="002F697D">
        <w:rPr>
          <w:rStyle w:val="normaltextrun"/>
        </w:rPr>
        <w:t xml:space="preserve"> of chlorothalonil (Bravo, etc.)</w:t>
      </w:r>
      <w:r w:rsidR="00C818E1">
        <w:rPr>
          <w:rStyle w:val="normaltextrun"/>
        </w:rPr>
        <w:t xml:space="preserve"> to prevent disease development. If you observe any disease symptoms, please contact your local agent for prompt identification</w:t>
      </w:r>
      <w:r w:rsidR="002F697D">
        <w:rPr>
          <w:rStyle w:val="normaltextrun"/>
        </w:rPr>
        <w:t xml:space="preserve"> through our “Early Detection” program. (Tatiana Sanchez</w:t>
      </w:r>
      <w:r w:rsidR="00346340">
        <w:rPr>
          <w:rStyle w:val="normaltextrun"/>
        </w:rPr>
        <w:t xml:space="preserve"> and Bob Hochmuth</w:t>
      </w:r>
      <w:r w:rsidR="002F697D">
        <w:rPr>
          <w:rStyle w:val="normaltextrun"/>
        </w:rPr>
        <w:t>)</w:t>
      </w:r>
    </w:p>
    <w:p w14:paraId="084C4CEC" w14:textId="77777777" w:rsidR="00346340" w:rsidRPr="00346340" w:rsidRDefault="00346340" w:rsidP="00346340">
      <w:pPr>
        <w:rPr>
          <w:b/>
          <w:bCs/>
        </w:rPr>
      </w:pPr>
      <w:r w:rsidRPr="00346340">
        <w:rPr>
          <w:b/>
          <w:bCs/>
        </w:rPr>
        <w:t>Copper Sprays, Efficacy and phytotoxicity</w:t>
      </w:r>
    </w:p>
    <w:p w14:paraId="722FA5A4" w14:textId="77777777" w:rsidR="00346340" w:rsidRDefault="00346340" w:rsidP="00346340">
      <w:r>
        <w:t>Copper was the first know fungicide. Its benefits were discovered accidently as a result of soaking pea seeds in a copper bowl. Still widely used, it is an important tool in our plant protection toolbox, but as most already understand, copper deserves careful understanding and conservative use.</w:t>
      </w:r>
    </w:p>
    <w:p w14:paraId="28F26F5A" w14:textId="77777777" w:rsidR="00346340" w:rsidRDefault="00346340" w:rsidP="00346340">
      <w:r>
        <w:lastRenderedPageBreak/>
        <w:t>Due to recent weather and environmental challenges, there have been several questions and conversations concerning copper products, their comparative efficacies, and potential for crop damage (phytotoxicity). These discussions deserved a closer look and hopefully a better understanding, but the answer isn’t as simple as might be expected; copper isn’t just copper.</w:t>
      </w:r>
    </w:p>
    <w:p w14:paraId="77A6A363" w14:textId="77777777" w:rsidR="00346340" w:rsidRDefault="00346340" w:rsidP="00346340">
      <w:r>
        <w:t>There are many different forms of copper products available in the marketplace each with its own advantages and disadvantages. There are a few basic concepts that need to be understood when evaluating copper compounds.</w:t>
      </w:r>
    </w:p>
    <w:p w14:paraId="4ED7090C" w14:textId="77777777" w:rsidR="00346340" w:rsidRDefault="00346340" w:rsidP="00346340">
      <w:pPr>
        <w:pStyle w:val="ListParagraph"/>
        <w:numPr>
          <w:ilvl w:val="0"/>
          <w:numId w:val="2"/>
        </w:numPr>
      </w:pPr>
      <w:r>
        <w:t>Copper is a soluble metal that is toxic, at varying concentrations, to many living organisms (bacteria, fungi, watermelons, people).</w:t>
      </w:r>
    </w:p>
    <w:p w14:paraId="2A82E368" w14:textId="77777777" w:rsidR="00346340" w:rsidRDefault="00346340" w:rsidP="00346340">
      <w:pPr>
        <w:pStyle w:val="ListParagraph"/>
        <w:numPr>
          <w:ilvl w:val="0"/>
          <w:numId w:val="2"/>
        </w:numPr>
      </w:pPr>
      <w:r>
        <w:t>Copper requires moisture on leaves to be active.</w:t>
      </w:r>
    </w:p>
    <w:p w14:paraId="7A5AE2A5" w14:textId="77777777" w:rsidR="00346340" w:rsidRDefault="00346340" w:rsidP="00346340">
      <w:pPr>
        <w:pStyle w:val="ListParagraph"/>
        <w:numPr>
          <w:ilvl w:val="0"/>
          <w:numId w:val="2"/>
        </w:numPr>
      </w:pPr>
      <w:r>
        <w:t>Copper is most effective on organisms that require free water to be active.</w:t>
      </w:r>
    </w:p>
    <w:p w14:paraId="0BB5DA4B" w14:textId="77777777" w:rsidR="00346340" w:rsidRDefault="00346340" w:rsidP="00346340">
      <w:pPr>
        <w:pStyle w:val="ListParagraph"/>
        <w:numPr>
          <w:ilvl w:val="0"/>
          <w:numId w:val="2"/>
        </w:numPr>
      </w:pPr>
      <w:r>
        <w:t xml:space="preserve">The pH of the water used in mixing and delivery of sprays will affect how soluble a copper product will be. Higher pH= less soluble, lower pH =more soluble. </w:t>
      </w:r>
      <w:r>
        <w:rPr>
          <w:i/>
          <w:iCs/>
        </w:rPr>
        <w:t>Certain products added in a tank mix may lower pH increasing risk of injury.</w:t>
      </w:r>
    </w:p>
    <w:p w14:paraId="5A841695" w14:textId="77777777" w:rsidR="00346340" w:rsidRDefault="00346340" w:rsidP="00346340">
      <w:pPr>
        <w:pStyle w:val="ListParagraph"/>
        <w:numPr>
          <w:ilvl w:val="0"/>
          <w:numId w:val="2"/>
        </w:numPr>
      </w:pPr>
      <w:r>
        <w:t xml:space="preserve">If the dissolved form of copper penetrates leaf or other plant tissues (fruit) it may cause damage to the tissue. </w:t>
      </w:r>
    </w:p>
    <w:p w14:paraId="186339D5" w14:textId="77777777" w:rsidR="00346340" w:rsidRDefault="00346340" w:rsidP="00346340">
      <w:pPr>
        <w:pStyle w:val="ListParagraph"/>
        <w:numPr>
          <w:ilvl w:val="0"/>
          <w:numId w:val="2"/>
        </w:numPr>
      </w:pPr>
      <w:r>
        <w:t>For this reason, no form of copper should be mixed with foliar nutrients or penetrants such as crop oils. Some insecticides can also be problematic. FOLLOW LABEL DIRECTIONS for appropriate crops, rates, surfactants, and tank mix compatibilities.</w:t>
      </w:r>
    </w:p>
    <w:p w14:paraId="31AE62D7" w14:textId="77777777" w:rsidR="00346340" w:rsidRPr="008D37B9" w:rsidRDefault="00346340" w:rsidP="00346340">
      <w:r>
        <w:t xml:space="preserve">The two most common forms of copper products seen in our area are </w:t>
      </w:r>
      <w:r w:rsidRPr="00615846">
        <w:rPr>
          <w:i/>
          <w:iCs/>
        </w:rPr>
        <w:t>fixed copper sulfate</w:t>
      </w:r>
      <w:r>
        <w:t xml:space="preserve"> (sometimes called </w:t>
      </w:r>
      <w:r w:rsidRPr="00615846">
        <w:rPr>
          <w:i/>
          <w:iCs/>
        </w:rPr>
        <w:t>basic copper sulfate</w:t>
      </w:r>
      <w:r>
        <w:t xml:space="preserve">) and </w:t>
      </w:r>
      <w:r>
        <w:rPr>
          <w:i/>
          <w:iCs/>
        </w:rPr>
        <w:t>copper hydroxide</w:t>
      </w:r>
      <w:r>
        <w:t xml:space="preserve">. Another form of copper, </w:t>
      </w:r>
      <w:r>
        <w:rPr>
          <w:b/>
          <w:bCs/>
        </w:rPr>
        <w:t>that should be used with caution</w:t>
      </w:r>
      <w:r>
        <w:rPr>
          <w:b/>
          <w:bCs/>
          <w:i/>
          <w:iCs/>
        </w:rPr>
        <w:t xml:space="preserve">, </w:t>
      </w:r>
      <w:r>
        <w:t xml:space="preserve">is </w:t>
      </w:r>
      <w:r>
        <w:rPr>
          <w:i/>
          <w:iCs/>
        </w:rPr>
        <w:t xml:space="preserve">copper sulfate pentahydrate </w:t>
      </w:r>
      <w:r>
        <w:t>(A.K.A. Bluestone). This form is highly soluble in water, releasing high concentrations of soluble copper, and is not rain fast. Some manufacturers will add lime to this material as a safener which makes it perform like a “fixed or basic” product.</w:t>
      </w:r>
    </w:p>
    <w:p w14:paraId="0A12B05E" w14:textId="77777777" w:rsidR="00346340" w:rsidRDefault="00346340" w:rsidP="00346340">
      <w:r>
        <w:t xml:space="preserve">Now, with that all understood, there are two basic factors that affect copper efficacy. </w:t>
      </w:r>
      <w:r>
        <w:rPr>
          <w:b/>
          <w:bCs/>
        </w:rPr>
        <w:t>Percent of metallic copper</w:t>
      </w:r>
      <w:r>
        <w:t xml:space="preserve"> and </w:t>
      </w:r>
      <w:r>
        <w:rPr>
          <w:b/>
          <w:bCs/>
        </w:rPr>
        <w:t xml:space="preserve">particle size. </w:t>
      </w:r>
      <w:r>
        <w:t>The challenge is having enough copper ions available to kill the pest (fungi, bacteria) while keeping the concentrations low enough not to injure the plant. Table 1 provides a list of several copper products and their metallic copper equivalent.</w:t>
      </w:r>
    </w:p>
    <w:p w14:paraId="0A04CCF6" w14:textId="77777777" w:rsidR="00346340" w:rsidRDefault="00346340" w:rsidP="00346340">
      <w:r>
        <w:t>Table 1. Percent Metallic Copper of Commercially Available Products</w:t>
      </w:r>
    </w:p>
    <w:tbl>
      <w:tblPr>
        <w:tblStyle w:val="TableGrid"/>
        <w:tblW w:w="9350" w:type="dxa"/>
        <w:tblInd w:w="-3" w:type="dxa"/>
        <w:tblLook w:val="04A0" w:firstRow="1" w:lastRow="0" w:firstColumn="1" w:lastColumn="0" w:noHBand="0" w:noVBand="1"/>
      </w:tblPr>
      <w:tblGrid>
        <w:gridCol w:w="1558"/>
        <w:gridCol w:w="1558"/>
        <w:gridCol w:w="1558"/>
        <w:gridCol w:w="1558"/>
        <w:gridCol w:w="1559"/>
        <w:gridCol w:w="1559"/>
      </w:tblGrid>
      <w:tr w:rsidR="00346340" w14:paraId="41553543" w14:textId="77777777" w:rsidTr="00EA246B">
        <w:tc>
          <w:tcPr>
            <w:tcW w:w="1558" w:type="dxa"/>
            <w:tcBorders>
              <w:top w:val="outset" w:sz="6" w:space="0" w:color="auto"/>
              <w:left w:val="outset" w:sz="6" w:space="0" w:color="auto"/>
              <w:bottom w:val="outset" w:sz="6" w:space="0" w:color="auto"/>
              <w:right w:val="outset" w:sz="6" w:space="0" w:color="auto"/>
            </w:tcBorders>
            <w:vAlign w:val="center"/>
          </w:tcPr>
          <w:p w14:paraId="75379F6E" w14:textId="77777777" w:rsidR="00346340" w:rsidRDefault="00346340" w:rsidP="00EA246B">
            <w:r>
              <w:rPr>
                <w:rStyle w:val="Strong"/>
              </w:rPr>
              <w:t>Product</w:t>
            </w:r>
          </w:p>
        </w:tc>
        <w:tc>
          <w:tcPr>
            <w:tcW w:w="1558" w:type="dxa"/>
            <w:tcBorders>
              <w:top w:val="outset" w:sz="6" w:space="0" w:color="auto"/>
              <w:left w:val="outset" w:sz="6" w:space="0" w:color="auto"/>
              <w:bottom w:val="outset" w:sz="6" w:space="0" w:color="auto"/>
              <w:right w:val="outset" w:sz="6" w:space="0" w:color="auto"/>
            </w:tcBorders>
            <w:vAlign w:val="center"/>
          </w:tcPr>
          <w:p w14:paraId="71EC234A" w14:textId="77777777" w:rsidR="00346340" w:rsidRDefault="00346340" w:rsidP="00EA246B">
            <w:r>
              <w:rPr>
                <w:rStyle w:val="Strong"/>
              </w:rPr>
              <w:t>Copper form</w:t>
            </w:r>
          </w:p>
        </w:tc>
        <w:tc>
          <w:tcPr>
            <w:tcW w:w="1558" w:type="dxa"/>
            <w:tcBorders>
              <w:top w:val="outset" w:sz="6" w:space="0" w:color="auto"/>
              <w:left w:val="outset" w:sz="6" w:space="0" w:color="auto"/>
              <w:bottom w:val="outset" w:sz="6" w:space="0" w:color="auto"/>
              <w:right w:val="outset" w:sz="6" w:space="0" w:color="auto"/>
            </w:tcBorders>
            <w:vAlign w:val="center"/>
          </w:tcPr>
          <w:p w14:paraId="0B12B01E" w14:textId="77777777" w:rsidR="00346340" w:rsidRDefault="00346340" w:rsidP="00EA246B">
            <w:r>
              <w:rPr>
                <w:rStyle w:val="Strong"/>
              </w:rPr>
              <w:t>Amount of formulation</w:t>
            </w:r>
          </w:p>
        </w:tc>
        <w:tc>
          <w:tcPr>
            <w:tcW w:w="1558" w:type="dxa"/>
            <w:tcBorders>
              <w:top w:val="outset" w:sz="6" w:space="0" w:color="auto"/>
              <w:left w:val="outset" w:sz="6" w:space="0" w:color="auto"/>
              <w:bottom w:val="outset" w:sz="6" w:space="0" w:color="auto"/>
              <w:right w:val="outset" w:sz="6" w:space="0" w:color="auto"/>
            </w:tcBorders>
            <w:vAlign w:val="center"/>
          </w:tcPr>
          <w:p w14:paraId="66FB2778" w14:textId="77777777" w:rsidR="00346340" w:rsidRDefault="00346340" w:rsidP="00EA246B">
            <w:r>
              <w:rPr>
                <w:rStyle w:val="Strong"/>
              </w:rPr>
              <w:t>Metallic copper equivalent</w:t>
            </w:r>
          </w:p>
        </w:tc>
        <w:tc>
          <w:tcPr>
            <w:tcW w:w="1559" w:type="dxa"/>
            <w:tcBorders>
              <w:top w:val="outset" w:sz="6" w:space="0" w:color="auto"/>
              <w:left w:val="outset" w:sz="6" w:space="0" w:color="auto"/>
              <w:bottom w:val="outset" w:sz="6" w:space="0" w:color="auto"/>
              <w:right w:val="outset" w:sz="6" w:space="0" w:color="auto"/>
            </w:tcBorders>
            <w:vAlign w:val="center"/>
          </w:tcPr>
          <w:p w14:paraId="4C2605C1" w14:textId="77777777" w:rsidR="00346340" w:rsidRDefault="00346340" w:rsidP="00EA246B">
            <w:r>
              <w:rPr>
                <w:rStyle w:val="Strong"/>
              </w:rPr>
              <w:t>Unit type</w:t>
            </w:r>
          </w:p>
        </w:tc>
        <w:tc>
          <w:tcPr>
            <w:tcW w:w="1559" w:type="dxa"/>
            <w:tcBorders>
              <w:top w:val="outset" w:sz="6" w:space="0" w:color="auto"/>
              <w:left w:val="outset" w:sz="6" w:space="0" w:color="auto"/>
              <w:bottom w:val="outset" w:sz="6" w:space="0" w:color="auto"/>
              <w:right w:val="outset" w:sz="6" w:space="0" w:color="auto"/>
            </w:tcBorders>
            <w:vAlign w:val="center"/>
          </w:tcPr>
          <w:p w14:paraId="69B78AD0" w14:textId="77777777" w:rsidR="00346340" w:rsidRDefault="00346340" w:rsidP="00EA246B">
            <w:r>
              <w:rPr>
                <w:rStyle w:val="Strong"/>
              </w:rPr>
              <w:t>metallic copper per unit</w:t>
            </w:r>
          </w:p>
        </w:tc>
      </w:tr>
      <w:tr w:rsidR="00346340" w14:paraId="7B2AD75D" w14:textId="77777777" w:rsidTr="00EA246B">
        <w:tc>
          <w:tcPr>
            <w:tcW w:w="1558" w:type="dxa"/>
            <w:tcBorders>
              <w:top w:val="outset" w:sz="6" w:space="0" w:color="auto"/>
              <w:left w:val="outset" w:sz="6" w:space="0" w:color="auto"/>
              <w:bottom w:val="outset" w:sz="6" w:space="0" w:color="auto"/>
              <w:right w:val="outset" w:sz="6" w:space="0" w:color="auto"/>
            </w:tcBorders>
            <w:vAlign w:val="center"/>
          </w:tcPr>
          <w:p w14:paraId="7CE93429" w14:textId="77777777" w:rsidR="00346340" w:rsidRDefault="00346340" w:rsidP="00EA246B">
            <w:r>
              <w:t>Copper sulfate = bluestone = blue vitriol</w:t>
            </w:r>
          </w:p>
        </w:tc>
        <w:tc>
          <w:tcPr>
            <w:tcW w:w="1558" w:type="dxa"/>
            <w:tcBorders>
              <w:top w:val="outset" w:sz="6" w:space="0" w:color="auto"/>
              <w:left w:val="outset" w:sz="6" w:space="0" w:color="auto"/>
              <w:bottom w:val="outset" w:sz="6" w:space="0" w:color="auto"/>
              <w:right w:val="outset" w:sz="6" w:space="0" w:color="auto"/>
            </w:tcBorders>
            <w:vAlign w:val="center"/>
          </w:tcPr>
          <w:p w14:paraId="19830D85" w14:textId="77777777" w:rsidR="00346340" w:rsidRDefault="00346340" w:rsidP="00EA246B">
            <w:r>
              <w:t>Copper sulfate pentahydrate*</w:t>
            </w:r>
          </w:p>
        </w:tc>
        <w:tc>
          <w:tcPr>
            <w:tcW w:w="1558" w:type="dxa"/>
            <w:tcBorders>
              <w:top w:val="outset" w:sz="6" w:space="0" w:color="auto"/>
              <w:left w:val="outset" w:sz="6" w:space="0" w:color="auto"/>
              <w:bottom w:val="outset" w:sz="6" w:space="0" w:color="auto"/>
              <w:right w:val="outset" w:sz="6" w:space="0" w:color="auto"/>
            </w:tcBorders>
            <w:vAlign w:val="center"/>
          </w:tcPr>
          <w:p w14:paraId="53AA6E46" w14:textId="77777777" w:rsidR="00346340" w:rsidRDefault="00346340" w:rsidP="00EA246B">
            <w:r>
              <w:t>99%</w:t>
            </w:r>
          </w:p>
        </w:tc>
        <w:tc>
          <w:tcPr>
            <w:tcW w:w="1558" w:type="dxa"/>
            <w:tcBorders>
              <w:top w:val="outset" w:sz="6" w:space="0" w:color="auto"/>
              <w:left w:val="outset" w:sz="6" w:space="0" w:color="auto"/>
              <w:bottom w:val="outset" w:sz="6" w:space="0" w:color="auto"/>
              <w:right w:val="outset" w:sz="6" w:space="0" w:color="auto"/>
            </w:tcBorders>
            <w:vAlign w:val="center"/>
          </w:tcPr>
          <w:p w14:paraId="4C554DCB" w14:textId="77777777" w:rsidR="00346340" w:rsidRDefault="00346340" w:rsidP="00EA246B">
            <w:r>
              <w:t>25%</w:t>
            </w:r>
          </w:p>
        </w:tc>
        <w:tc>
          <w:tcPr>
            <w:tcW w:w="1559" w:type="dxa"/>
            <w:tcBorders>
              <w:top w:val="outset" w:sz="6" w:space="0" w:color="auto"/>
              <w:left w:val="outset" w:sz="6" w:space="0" w:color="auto"/>
              <w:bottom w:val="outset" w:sz="6" w:space="0" w:color="auto"/>
              <w:right w:val="outset" w:sz="6" w:space="0" w:color="auto"/>
            </w:tcBorders>
            <w:vAlign w:val="center"/>
          </w:tcPr>
          <w:p w14:paraId="7F9640D4" w14:textId="77777777" w:rsidR="00346340" w:rsidRDefault="00346340" w:rsidP="00EA246B">
            <w:r>
              <w:t>1 lb</w:t>
            </w:r>
          </w:p>
        </w:tc>
        <w:tc>
          <w:tcPr>
            <w:tcW w:w="1559" w:type="dxa"/>
            <w:tcBorders>
              <w:top w:val="outset" w:sz="6" w:space="0" w:color="auto"/>
              <w:left w:val="outset" w:sz="6" w:space="0" w:color="auto"/>
              <w:bottom w:val="outset" w:sz="6" w:space="0" w:color="auto"/>
              <w:right w:val="outset" w:sz="6" w:space="0" w:color="auto"/>
            </w:tcBorders>
            <w:vAlign w:val="center"/>
          </w:tcPr>
          <w:p w14:paraId="42420E49" w14:textId="77777777" w:rsidR="00346340" w:rsidRDefault="00346340" w:rsidP="00EA246B">
            <w:r>
              <w:t>0.25 lb</w:t>
            </w:r>
          </w:p>
        </w:tc>
      </w:tr>
      <w:tr w:rsidR="00346340" w14:paraId="696AD9E2" w14:textId="77777777" w:rsidTr="00EA246B">
        <w:tc>
          <w:tcPr>
            <w:tcW w:w="1558" w:type="dxa"/>
            <w:tcBorders>
              <w:top w:val="outset" w:sz="6" w:space="0" w:color="auto"/>
              <w:left w:val="outset" w:sz="6" w:space="0" w:color="auto"/>
              <w:bottom w:val="outset" w:sz="6" w:space="0" w:color="auto"/>
              <w:right w:val="outset" w:sz="6" w:space="0" w:color="auto"/>
            </w:tcBorders>
            <w:vAlign w:val="center"/>
          </w:tcPr>
          <w:p w14:paraId="35950A9D" w14:textId="77777777" w:rsidR="00346340" w:rsidRDefault="00346340" w:rsidP="00EA246B">
            <w:r>
              <w:t>Kocide 101</w:t>
            </w:r>
          </w:p>
        </w:tc>
        <w:tc>
          <w:tcPr>
            <w:tcW w:w="1558" w:type="dxa"/>
            <w:tcBorders>
              <w:top w:val="outset" w:sz="6" w:space="0" w:color="auto"/>
              <w:left w:val="outset" w:sz="6" w:space="0" w:color="auto"/>
              <w:bottom w:val="outset" w:sz="6" w:space="0" w:color="auto"/>
              <w:right w:val="outset" w:sz="6" w:space="0" w:color="auto"/>
            </w:tcBorders>
            <w:vAlign w:val="center"/>
          </w:tcPr>
          <w:p w14:paraId="31C4FE61" w14:textId="77777777" w:rsidR="00346340" w:rsidRDefault="00346340" w:rsidP="00EA246B">
            <w:r>
              <w:t>Copper hydroxide</w:t>
            </w:r>
          </w:p>
        </w:tc>
        <w:tc>
          <w:tcPr>
            <w:tcW w:w="1558" w:type="dxa"/>
            <w:tcBorders>
              <w:top w:val="outset" w:sz="6" w:space="0" w:color="auto"/>
              <w:left w:val="outset" w:sz="6" w:space="0" w:color="auto"/>
              <w:bottom w:val="outset" w:sz="6" w:space="0" w:color="auto"/>
              <w:right w:val="outset" w:sz="6" w:space="0" w:color="auto"/>
            </w:tcBorders>
            <w:vAlign w:val="center"/>
          </w:tcPr>
          <w:p w14:paraId="6D5FA4CE" w14:textId="77777777" w:rsidR="00346340" w:rsidRDefault="00346340" w:rsidP="00EA246B">
            <w:r>
              <w:t>77.0%</w:t>
            </w:r>
          </w:p>
        </w:tc>
        <w:tc>
          <w:tcPr>
            <w:tcW w:w="1558" w:type="dxa"/>
            <w:tcBorders>
              <w:top w:val="outset" w:sz="6" w:space="0" w:color="auto"/>
              <w:left w:val="outset" w:sz="6" w:space="0" w:color="auto"/>
              <w:bottom w:val="outset" w:sz="6" w:space="0" w:color="auto"/>
              <w:right w:val="outset" w:sz="6" w:space="0" w:color="auto"/>
            </w:tcBorders>
            <w:vAlign w:val="center"/>
          </w:tcPr>
          <w:p w14:paraId="09425D50" w14:textId="77777777" w:rsidR="00346340" w:rsidRDefault="00346340" w:rsidP="00EA246B">
            <w:r>
              <w:t>50%</w:t>
            </w:r>
          </w:p>
        </w:tc>
        <w:tc>
          <w:tcPr>
            <w:tcW w:w="1559" w:type="dxa"/>
            <w:tcBorders>
              <w:top w:val="outset" w:sz="6" w:space="0" w:color="auto"/>
              <w:left w:val="outset" w:sz="6" w:space="0" w:color="auto"/>
              <w:bottom w:val="outset" w:sz="6" w:space="0" w:color="auto"/>
              <w:right w:val="outset" w:sz="6" w:space="0" w:color="auto"/>
            </w:tcBorders>
            <w:vAlign w:val="center"/>
          </w:tcPr>
          <w:p w14:paraId="52027DE2" w14:textId="77777777" w:rsidR="00346340" w:rsidRDefault="00346340" w:rsidP="00EA246B">
            <w:r>
              <w:t>1 lb</w:t>
            </w:r>
          </w:p>
        </w:tc>
        <w:tc>
          <w:tcPr>
            <w:tcW w:w="1559" w:type="dxa"/>
            <w:tcBorders>
              <w:top w:val="outset" w:sz="6" w:space="0" w:color="auto"/>
              <w:left w:val="outset" w:sz="6" w:space="0" w:color="auto"/>
              <w:bottom w:val="outset" w:sz="6" w:space="0" w:color="auto"/>
              <w:right w:val="outset" w:sz="6" w:space="0" w:color="auto"/>
            </w:tcBorders>
            <w:vAlign w:val="center"/>
          </w:tcPr>
          <w:p w14:paraId="44A42D4E" w14:textId="77777777" w:rsidR="00346340" w:rsidRDefault="00346340" w:rsidP="00EA246B">
            <w:r>
              <w:t>0.50 lb</w:t>
            </w:r>
          </w:p>
        </w:tc>
      </w:tr>
      <w:tr w:rsidR="00346340" w14:paraId="6BB7F0A1" w14:textId="77777777" w:rsidTr="00EA246B">
        <w:tc>
          <w:tcPr>
            <w:tcW w:w="1558" w:type="dxa"/>
            <w:tcBorders>
              <w:top w:val="outset" w:sz="6" w:space="0" w:color="auto"/>
              <w:left w:val="outset" w:sz="6" w:space="0" w:color="auto"/>
              <w:bottom w:val="outset" w:sz="6" w:space="0" w:color="auto"/>
              <w:right w:val="outset" w:sz="6" w:space="0" w:color="auto"/>
            </w:tcBorders>
            <w:vAlign w:val="center"/>
          </w:tcPr>
          <w:p w14:paraId="4335970E" w14:textId="77777777" w:rsidR="00346340" w:rsidRDefault="00346340" w:rsidP="00EA246B">
            <w:r>
              <w:t>Kocide 3000</w:t>
            </w:r>
          </w:p>
        </w:tc>
        <w:tc>
          <w:tcPr>
            <w:tcW w:w="1558" w:type="dxa"/>
            <w:tcBorders>
              <w:top w:val="outset" w:sz="6" w:space="0" w:color="auto"/>
              <w:left w:val="outset" w:sz="6" w:space="0" w:color="auto"/>
              <w:bottom w:val="outset" w:sz="6" w:space="0" w:color="auto"/>
              <w:right w:val="outset" w:sz="6" w:space="0" w:color="auto"/>
            </w:tcBorders>
            <w:vAlign w:val="center"/>
          </w:tcPr>
          <w:p w14:paraId="79F0D9C3" w14:textId="77777777" w:rsidR="00346340" w:rsidRDefault="00346340" w:rsidP="00EA246B">
            <w:r>
              <w:t>Copper hydroxide</w:t>
            </w:r>
          </w:p>
        </w:tc>
        <w:tc>
          <w:tcPr>
            <w:tcW w:w="1558" w:type="dxa"/>
            <w:tcBorders>
              <w:top w:val="outset" w:sz="6" w:space="0" w:color="auto"/>
              <w:left w:val="outset" w:sz="6" w:space="0" w:color="auto"/>
              <w:bottom w:val="outset" w:sz="6" w:space="0" w:color="auto"/>
              <w:right w:val="outset" w:sz="6" w:space="0" w:color="auto"/>
            </w:tcBorders>
            <w:vAlign w:val="center"/>
          </w:tcPr>
          <w:p w14:paraId="27DEFA56" w14:textId="77777777" w:rsidR="00346340" w:rsidRDefault="00346340" w:rsidP="00EA246B">
            <w:r>
              <w:t>46.1%</w:t>
            </w:r>
          </w:p>
        </w:tc>
        <w:tc>
          <w:tcPr>
            <w:tcW w:w="1558" w:type="dxa"/>
            <w:tcBorders>
              <w:top w:val="outset" w:sz="6" w:space="0" w:color="auto"/>
              <w:left w:val="outset" w:sz="6" w:space="0" w:color="auto"/>
              <w:bottom w:val="outset" w:sz="6" w:space="0" w:color="auto"/>
              <w:right w:val="outset" w:sz="6" w:space="0" w:color="auto"/>
            </w:tcBorders>
            <w:vAlign w:val="center"/>
          </w:tcPr>
          <w:p w14:paraId="30368FAF" w14:textId="77777777" w:rsidR="00346340" w:rsidRDefault="00346340" w:rsidP="00EA246B">
            <w:r>
              <w:t>30%</w:t>
            </w:r>
          </w:p>
        </w:tc>
        <w:tc>
          <w:tcPr>
            <w:tcW w:w="1559" w:type="dxa"/>
            <w:tcBorders>
              <w:top w:val="outset" w:sz="6" w:space="0" w:color="auto"/>
              <w:left w:val="outset" w:sz="6" w:space="0" w:color="auto"/>
              <w:bottom w:val="outset" w:sz="6" w:space="0" w:color="auto"/>
              <w:right w:val="outset" w:sz="6" w:space="0" w:color="auto"/>
            </w:tcBorders>
            <w:vAlign w:val="center"/>
          </w:tcPr>
          <w:p w14:paraId="3832E944" w14:textId="77777777" w:rsidR="00346340" w:rsidRDefault="00346340" w:rsidP="00EA246B">
            <w:r>
              <w:t>1 lb</w:t>
            </w:r>
          </w:p>
        </w:tc>
        <w:tc>
          <w:tcPr>
            <w:tcW w:w="1559" w:type="dxa"/>
            <w:tcBorders>
              <w:top w:val="outset" w:sz="6" w:space="0" w:color="auto"/>
              <w:left w:val="outset" w:sz="6" w:space="0" w:color="auto"/>
              <w:bottom w:val="outset" w:sz="6" w:space="0" w:color="auto"/>
              <w:right w:val="outset" w:sz="6" w:space="0" w:color="auto"/>
            </w:tcBorders>
            <w:vAlign w:val="center"/>
          </w:tcPr>
          <w:p w14:paraId="142BB47E" w14:textId="77777777" w:rsidR="00346340" w:rsidRDefault="00346340" w:rsidP="00EA246B">
            <w:r>
              <w:t>0.30 lb</w:t>
            </w:r>
          </w:p>
        </w:tc>
      </w:tr>
      <w:tr w:rsidR="00346340" w14:paraId="664DF467" w14:textId="77777777" w:rsidTr="00EA246B">
        <w:tc>
          <w:tcPr>
            <w:tcW w:w="1558" w:type="dxa"/>
            <w:tcBorders>
              <w:top w:val="outset" w:sz="6" w:space="0" w:color="auto"/>
              <w:left w:val="outset" w:sz="6" w:space="0" w:color="auto"/>
              <w:bottom w:val="outset" w:sz="6" w:space="0" w:color="auto"/>
              <w:right w:val="outset" w:sz="6" w:space="0" w:color="auto"/>
            </w:tcBorders>
            <w:vAlign w:val="center"/>
          </w:tcPr>
          <w:p w14:paraId="0A974CCC" w14:textId="77777777" w:rsidR="00346340" w:rsidRDefault="00346340" w:rsidP="00EA246B">
            <w:r>
              <w:t>Basic Copper 53</w:t>
            </w:r>
          </w:p>
        </w:tc>
        <w:tc>
          <w:tcPr>
            <w:tcW w:w="1558" w:type="dxa"/>
            <w:tcBorders>
              <w:top w:val="outset" w:sz="6" w:space="0" w:color="auto"/>
              <w:left w:val="outset" w:sz="6" w:space="0" w:color="auto"/>
              <w:bottom w:val="outset" w:sz="6" w:space="0" w:color="auto"/>
              <w:right w:val="outset" w:sz="6" w:space="0" w:color="auto"/>
            </w:tcBorders>
            <w:vAlign w:val="center"/>
          </w:tcPr>
          <w:p w14:paraId="6969EEC5" w14:textId="77777777" w:rsidR="00346340" w:rsidRDefault="00346340" w:rsidP="00EA246B">
            <w:r>
              <w:t>Basic copper sulfate</w:t>
            </w:r>
          </w:p>
        </w:tc>
        <w:tc>
          <w:tcPr>
            <w:tcW w:w="1558" w:type="dxa"/>
            <w:tcBorders>
              <w:top w:val="outset" w:sz="6" w:space="0" w:color="auto"/>
              <w:left w:val="outset" w:sz="6" w:space="0" w:color="auto"/>
              <w:bottom w:val="outset" w:sz="6" w:space="0" w:color="auto"/>
              <w:right w:val="outset" w:sz="6" w:space="0" w:color="auto"/>
            </w:tcBorders>
            <w:vAlign w:val="center"/>
          </w:tcPr>
          <w:p w14:paraId="1FF9F268" w14:textId="77777777" w:rsidR="00346340" w:rsidRDefault="00346340" w:rsidP="00EA246B">
            <w:r>
              <w:t>95%</w:t>
            </w:r>
          </w:p>
        </w:tc>
        <w:tc>
          <w:tcPr>
            <w:tcW w:w="1558" w:type="dxa"/>
            <w:tcBorders>
              <w:top w:val="outset" w:sz="6" w:space="0" w:color="auto"/>
              <w:left w:val="outset" w:sz="6" w:space="0" w:color="auto"/>
              <w:bottom w:val="outset" w:sz="6" w:space="0" w:color="auto"/>
              <w:right w:val="outset" w:sz="6" w:space="0" w:color="auto"/>
            </w:tcBorders>
            <w:vAlign w:val="center"/>
          </w:tcPr>
          <w:p w14:paraId="52D53667" w14:textId="77777777" w:rsidR="00346340" w:rsidRDefault="00346340" w:rsidP="00EA246B">
            <w:r>
              <w:t>53%</w:t>
            </w:r>
          </w:p>
        </w:tc>
        <w:tc>
          <w:tcPr>
            <w:tcW w:w="1559" w:type="dxa"/>
            <w:tcBorders>
              <w:top w:val="outset" w:sz="6" w:space="0" w:color="auto"/>
              <w:left w:val="outset" w:sz="6" w:space="0" w:color="auto"/>
              <w:bottom w:val="outset" w:sz="6" w:space="0" w:color="auto"/>
              <w:right w:val="outset" w:sz="6" w:space="0" w:color="auto"/>
            </w:tcBorders>
            <w:vAlign w:val="center"/>
          </w:tcPr>
          <w:p w14:paraId="5894F737" w14:textId="77777777" w:rsidR="00346340" w:rsidRDefault="00346340" w:rsidP="00EA246B">
            <w:r>
              <w:t>1 lb</w:t>
            </w:r>
          </w:p>
        </w:tc>
        <w:tc>
          <w:tcPr>
            <w:tcW w:w="1559" w:type="dxa"/>
            <w:tcBorders>
              <w:top w:val="outset" w:sz="6" w:space="0" w:color="auto"/>
              <w:left w:val="outset" w:sz="6" w:space="0" w:color="auto"/>
              <w:bottom w:val="outset" w:sz="6" w:space="0" w:color="auto"/>
              <w:right w:val="outset" w:sz="6" w:space="0" w:color="auto"/>
            </w:tcBorders>
            <w:vAlign w:val="center"/>
          </w:tcPr>
          <w:p w14:paraId="65DCE51A" w14:textId="77777777" w:rsidR="00346340" w:rsidRDefault="00346340" w:rsidP="00EA246B">
            <w:r>
              <w:t>0.53 lb</w:t>
            </w:r>
          </w:p>
        </w:tc>
      </w:tr>
      <w:tr w:rsidR="00346340" w14:paraId="415C7109" w14:textId="77777777" w:rsidTr="00EA246B">
        <w:tc>
          <w:tcPr>
            <w:tcW w:w="1558" w:type="dxa"/>
            <w:tcBorders>
              <w:top w:val="outset" w:sz="6" w:space="0" w:color="auto"/>
              <w:left w:val="outset" w:sz="6" w:space="0" w:color="auto"/>
              <w:bottom w:val="outset" w:sz="6" w:space="0" w:color="auto"/>
              <w:right w:val="outset" w:sz="6" w:space="0" w:color="auto"/>
            </w:tcBorders>
            <w:vAlign w:val="center"/>
          </w:tcPr>
          <w:p w14:paraId="57A60B14" w14:textId="77777777" w:rsidR="00346340" w:rsidRDefault="00346340" w:rsidP="00EA246B">
            <w:r>
              <w:lastRenderedPageBreak/>
              <w:t>Champ 2F = Champ liquid copper = Champ Formula 2</w:t>
            </w:r>
          </w:p>
        </w:tc>
        <w:tc>
          <w:tcPr>
            <w:tcW w:w="1558" w:type="dxa"/>
            <w:tcBorders>
              <w:top w:val="outset" w:sz="6" w:space="0" w:color="auto"/>
              <w:left w:val="outset" w:sz="6" w:space="0" w:color="auto"/>
              <w:bottom w:val="outset" w:sz="6" w:space="0" w:color="auto"/>
              <w:right w:val="outset" w:sz="6" w:space="0" w:color="auto"/>
            </w:tcBorders>
            <w:vAlign w:val="center"/>
          </w:tcPr>
          <w:p w14:paraId="1803DB2E" w14:textId="77777777" w:rsidR="00346340" w:rsidRDefault="00346340" w:rsidP="00EA246B">
            <w:r>
              <w:t>Copper hydroxide</w:t>
            </w:r>
          </w:p>
        </w:tc>
        <w:tc>
          <w:tcPr>
            <w:tcW w:w="1558" w:type="dxa"/>
            <w:tcBorders>
              <w:top w:val="outset" w:sz="6" w:space="0" w:color="auto"/>
              <w:left w:val="outset" w:sz="6" w:space="0" w:color="auto"/>
              <w:bottom w:val="outset" w:sz="6" w:space="0" w:color="auto"/>
              <w:right w:val="outset" w:sz="6" w:space="0" w:color="auto"/>
            </w:tcBorders>
            <w:vAlign w:val="center"/>
          </w:tcPr>
          <w:p w14:paraId="66FC302D" w14:textId="77777777" w:rsidR="00346340" w:rsidRDefault="00346340" w:rsidP="00EA246B">
            <w:r>
              <w:t>37.5%</w:t>
            </w:r>
          </w:p>
        </w:tc>
        <w:tc>
          <w:tcPr>
            <w:tcW w:w="1558" w:type="dxa"/>
            <w:tcBorders>
              <w:top w:val="outset" w:sz="6" w:space="0" w:color="auto"/>
              <w:left w:val="outset" w:sz="6" w:space="0" w:color="auto"/>
              <w:bottom w:val="outset" w:sz="6" w:space="0" w:color="auto"/>
              <w:right w:val="outset" w:sz="6" w:space="0" w:color="auto"/>
            </w:tcBorders>
            <w:vAlign w:val="center"/>
          </w:tcPr>
          <w:p w14:paraId="73D11E96" w14:textId="77777777" w:rsidR="00346340" w:rsidRDefault="00346340" w:rsidP="00EA246B">
            <w:r>
              <w:t>24.4%</w:t>
            </w:r>
          </w:p>
        </w:tc>
        <w:tc>
          <w:tcPr>
            <w:tcW w:w="1559" w:type="dxa"/>
            <w:tcBorders>
              <w:top w:val="outset" w:sz="6" w:space="0" w:color="auto"/>
              <w:left w:val="outset" w:sz="6" w:space="0" w:color="auto"/>
              <w:bottom w:val="outset" w:sz="6" w:space="0" w:color="auto"/>
              <w:right w:val="outset" w:sz="6" w:space="0" w:color="auto"/>
            </w:tcBorders>
            <w:vAlign w:val="center"/>
          </w:tcPr>
          <w:p w14:paraId="388F6471" w14:textId="77777777" w:rsidR="00346340" w:rsidRDefault="00346340" w:rsidP="00EA246B">
            <w:r>
              <w:t>1 gal</w:t>
            </w:r>
          </w:p>
        </w:tc>
        <w:tc>
          <w:tcPr>
            <w:tcW w:w="1559" w:type="dxa"/>
            <w:tcBorders>
              <w:top w:val="outset" w:sz="6" w:space="0" w:color="auto"/>
              <w:left w:val="outset" w:sz="6" w:space="0" w:color="auto"/>
              <w:bottom w:val="outset" w:sz="6" w:space="0" w:color="auto"/>
              <w:right w:val="outset" w:sz="6" w:space="0" w:color="auto"/>
            </w:tcBorders>
            <w:vAlign w:val="center"/>
          </w:tcPr>
          <w:p w14:paraId="700D17F1" w14:textId="77777777" w:rsidR="00346340" w:rsidRDefault="00346340" w:rsidP="00EA246B">
            <w:r>
              <w:t>3.00 lb</w:t>
            </w:r>
          </w:p>
        </w:tc>
      </w:tr>
      <w:tr w:rsidR="00346340" w14:paraId="5947615C" w14:textId="77777777" w:rsidTr="00EA246B">
        <w:tc>
          <w:tcPr>
            <w:tcW w:w="1558" w:type="dxa"/>
            <w:tcBorders>
              <w:top w:val="outset" w:sz="6" w:space="0" w:color="auto"/>
              <w:left w:val="outset" w:sz="6" w:space="0" w:color="auto"/>
              <w:bottom w:val="outset" w:sz="6" w:space="0" w:color="auto"/>
              <w:right w:val="outset" w:sz="6" w:space="0" w:color="auto"/>
            </w:tcBorders>
            <w:vAlign w:val="center"/>
          </w:tcPr>
          <w:p w14:paraId="1269431C" w14:textId="77777777" w:rsidR="00346340" w:rsidRDefault="00346340" w:rsidP="00EA246B">
            <w:r>
              <w:t>Cuprofix Ultra 40D</w:t>
            </w:r>
          </w:p>
        </w:tc>
        <w:tc>
          <w:tcPr>
            <w:tcW w:w="1558" w:type="dxa"/>
            <w:tcBorders>
              <w:top w:val="outset" w:sz="6" w:space="0" w:color="auto"/>
              <w:left w:val="outset" w:sz="6" w:space="0" w:color="auto"/>
              <w:bottom w:val="outset" w:sz="6" w:space="0" w:color="auto"/>
              <w:right w:val="outset" w:sz="6" w:space="0" w:color="auto"/>
            </w:tcBorders>
            <w:vAlign w:val="center"/>
          </w:tcPr>
          <w:p w14:paraId="6B403EAB" w14:textId="77777777" w:rsidR="00346340" w:rsidRDefault="00346340" w:rsidP="00EA246B">
            <w:r>
              <w:t>Basic copper sulfate= CuSO4 · 3Cu(OH)2 · H20</w:t>
            </w:r>
          </w:p>
        </w:tc>
        <w:tc>
          <w:tcPr>
            <w:tcW w:w="1558" w:type="dxa"/>
            <w:tcBorders>
              <w:top w:val="outset" w:sz="6" w:space="0" w:color="auto"/>
              <w:left w:val="outset" w:sz="6" w:space="0" w:color="auto"/>
              <w:bottom w:val="outset" w:sz="6" w:space="0" w:color="auto"/>
              <w:right w:val="outset" w:sz="6" w:space="0" w:color="auto"/>
            </w:tcBorders>
            <w:vAlign w:val="center"/>
          </w:tcPr>
          <w:p w14:paraId="1AB11A7D" w14:textId="77777777" w:rsidR="00346340" w:rsidRDefault="00346340" w:rsidP="00EA246B">
            <w:r>
              <w:t>71.1%</w:t>
            </w:r>
          </w:p>
        </w:tc>
        <w:tc>
          <w:tcPr>
            <w:tcW w:w="1558" w:type="dxa"/>
            <w:tcBorders>
              <w:top w:val="outset" w:sz="6" w:space="0" w:color="auto"/>
              <w:left w:val="outset" w:sz="6" w:space="0" w:color="auto"/>
              <w:bottom w:val="outset" w:sz="6" w:space="0" w:color="auto"/>
              <w:right w:val="outset" w:sz="6" w:space="0" w:color="auto"/>
            </w:tcBorders>
            <w:vAlign w:val="center"/>
          </w:tcPr>
          <w:p w14:paraId="1751E456" w14:textId="77777777" w:rsidR="00346340" w:rsidRDefault="00346340" w:rsidP="00EA246B">
            <w:r>
              <w:t>40%</w:t>
            </w:r>
          </w:p>
        </w:tc>
        <w:tc>
          <w:tcPr>
            <w:tcW w:w="1559" w:type="dxa"/>
            <w:tcBorders>
              <w:top w:val="outset" w:sz="6" w:space="0" w:color="auto"/>
              <w:left w:val="outset" w:sz="6" w:space="0" w:color="auto"/>
              <w:bottom w:val="outset" w:sz="6" w:space="0" w:color="auto"/>
              <w:right w:val="outset" w:sz="6" w:space="0" w:color="auto"/>
            </w:tcBorders>
            <w:vAlign w:val="center"/>
          </w:tcPr>
          <w:p w14:paraId="3BB17030" w14:textId="77777777" w:rsidR="00346340" w:rsidRDefault="00346340" w:rsidP="00EA246B">
            <w:r>
              <w:t>1 lb</w:t>
            </w:r>
          </w:p>
        </w:tc>
        <w:tc>
          <w:tcPr>
            <w:tcW w:w="1559" w:type="dxa"/>
            <w:tcBorders>
              <w:top w:val="outset" w:sz="6" w:space="0" w:color="auto"/>
              <w:left w:val="outset" w:sz="6" w:space="0" w:color="auto"/>
              <w:bottom w:val="outset" w:sz="6" w:space="0" w:color="auto"/>
              <w:right w:val="outset" w:sz="6" w:space="0" w:color="auto"/>
            </w:tcBorders>
            <w:vAlign w:val="center"/>
          </w:tcPr>
          <w:p w14:paraId="2129BD14" w14:textId="77777777" w:rsidR="00346340" w:rsidRDefault="00346340" w:rsidP="00EA246B">
            <w:r>
              <w:t>0.40 lb</w:t>
            </w:r>
          </w:p>
        </w:tc>
      </w:tr>
      <w:tr w:rsidR="00346340" w14:paraId="7CB1FF39" w14:textId="77777777" w:rsidTr="00EA246B">
        <w:tc>
          <w:tcPr>
            <w:tcW w:w="1558" w:type="dxa"/>
            <w:tcBorders>
              <w:top w:val="outset" w:sz="6" w:space="0" w:color="auto"/>
              <w:left w:val="outset" w:sz="6" w:space="0" w:color="auto"/>
              <w:bottom w:val="outset" w:sz="6" w:space="0" w:color="auto"/>
              <w:right w:val="outset" w:sz="6" w:space="0" w:color="auto"/>
            </w:tcBorders>
            <w:vAlign w:val="center"/>
          </w:tcPr>
          <w:p w14:paraId="226EEFFF" w14:textId="77777777" w:rsidR="00346340" w:rsidRDefault="00346340" w:rsidP="00EA246B">
            <w:r>
              <w:t>Basicop</w:t>
            </w:r>
          </w:p>
        </w:tc>
        <w:tc>
          <w:tcPr>
            <w:tcW w:w="1558" w:type="dxa"/>
            <w:tcBorders>
              <w:top w:val="outset" w:sz="6" w:space="0" w:color="auto"/>
              <w:left w:val="outset" w:sz="6" w:space="0" w:color="auto"/>
              <w:bottom w:val="outset" w:sz="6" w:space="0" w:color="auto"/>
              <w:right w:val="outset" w:sz="6" w:space="0" w:color="auto"/>
            </w:tcBorders>
            <w:vAlign w:val="center"/>
          </w:tcPr>
          <w:p w14:paraId="14F9E0DB" w14:textId="77777777" w:rsidR="00346340" w:rsidRDefault="00346340" w:rsidP="00EA246B">
            <w:r>
              <w:t>Basic copper sulfate</w:t>
            </w:r>
          </w:p>
        </w:tc>
        <w:tc>
          <w:tcPr>
            <w:tcW w:w="1558" w:type="dxa"/>
            <w:tcBorders>
              <w:top w:val="outset" w:sz="6" w:space="0" w:color="auto"/>
              <w:left w:val="outset" w:sz="6" w:space="0" w:color="auto"/>
              <w:bottom w:val="outset" w:sz="6" w:space="0" w:color="auto"/>
              <w:right w:val="outset" w:sz="6" w:space="0" w:color="auto"/>
            </w:tcBorders>
            <w:vAlign w:val="center"/>
          </w:tcPr>
          <w:p w14:paraId="5133F585" w14:textId="77777777" w:rsidR="00346340" w:rsidRDefault="00346340" w:rsidP="00EA246B">
            <w:r>
              <w:t>95%</w:t>
            </w:r>
          </w:p>
        </w:tc>
        <w:tc>
          <w:tcPr>
            <w:tcW w:w="1558" w:type="dxa"/>
            <w:tcBorders>
              <w:top w:val="outset" w:sz="6" w:space="0" w:color="auto"/>
              <w:left w:val="outset" w:sz="6" w:space="0" w:color="auto"/>
              <w:bottom w:val="outset" w:sz="6" w:space="0" w:color="auto"/>
              <w:right w:val="outset" w:sz="6" w:space="0" w:color="auto"/>
            </w:tcBorders>
            <w:vAlign w:val="center"/>
          </w:tcPr>
          <w:p w14:paraId="515EBF7D" w14:textId="77777777" w:rsidR="00346340" w:rsidRDefault="00346340" w:rsidP="00EA246B">
            <w:r>
              <w:t>53%</w:t>
            </w:r>
          </w:p>
        </w:tc>
        <w:tc>
          <w:tcPr>
            <w:tcW w:w="1559" w:type="dxa"/>
            <w:tcBorders>
              <w:top w:val="outset" w:sz="6" w:space="0" w:color="auto"/>
              <w:left w:val="outset" w:sz="6" w:space="0" w:color="auto"/>
              <w:bottom w:val="outset" w:sz="6" w:space="0" w:color="auto"/>
              <w:right w:val="outset" w:sz="6" w:space="0" w:color="auto"/>
            </w:tcBorders>
            <w:vAlign w:val="center"/>
          </w:tcPr>
          <w:p w14:paraId="3AE505E3" w14:textId="77777777" w:rsidR="00346340" w:rsidRDefault="00346340" w:rsidP="00EA246B">
            <w:r>
              <w:t>1 lb</w:t>
            </w:r>
          </w:p>
        </w:tc>
        <w:tc>
          <w:tcPr>
            <w:tcW w:w="1559" w:type="dxa"/>
            <w:tcBorders>
              <w:top w:val="outset" w:sz="6" w:space="0" w:color="auto"/>
              <w:left w:val="outset" w:sz="6" w:space="0" w:color="auto"/>
              <w:bottom w:val="outset" w:sz="6" w:space="0" w:color="auto"/>
              <w:right w:val="outset" w:sz="6" w:space="0" w:color="auto"/>
            </w:tcBorders>
            <w:vAlign w:val="center"/>
          </w:tcPr>
          <w:p w14:paraId="7F1FA962" w14:textId="77777777" w:rsidR="00346340" w:rsidRDefault="00346340" w:rsidP="00EA246B">
            <w:r>
              <w:t>0.53 lb</w:t>
            </w:r>
          </w:p>
        </w:tc>
      </w:tr>
    </w:tbl>
    <w:p w14:paraId="539919D4" w14:textId="77777777" w:rsidR="00346340" w:rsidRPr="00B60F88" w:rsidRDefault="00346340" w:rsidP="00346340">
      <w:r>
        <w:t>The above table is not a comprehensive list of copper products, and all products may not be labeled for use in watermelons. This list is provided for reference purposes only.</w:t>
      </w:r>
      <w:r w:rsidRPr="00434D90">
        <w:t xml:space="preserve"> </w:t>
      </w:r>
      <w:r>
        <w:t>Consult the product label for registered crops, rates, and other use directions.</w:t>
      </w:r>
    </w:p>
    <w:p w14:paraId="6C21A2FC" w14:textId="10CEBBDC" w:rsidR="00346340" w:rsidRDefault="00346340" w:rsidP="00346340">
      <w:r>
        <w:t>There are other formulations and types of copper available. Products such as Tenn-Cop 5E and Cueva Fungicide Concentrate are copper materials derived from copper salts of fatty acids as opposed to basic copper sulfates or copper hydroxides. These materials are also considered to behave as do safened materials, but again, be sure to consult the label for specific uses.</w:t>
      </w:r>
      <w:r w:rsidR="001C2323">
        <w:t xml:space="preserve"> </w:t>
      </w:r>
      <w:r>
        <w:t xml:space="preserve">As mentioned, particle size also contributes to efficacy and persistence of copper products. Particle size is measured in microns and cannot be measured by touch or sight. Finer ground materials provide for more uniform spray coverage, persistence in the environment, and longer residue. Coarser ground materials tend to wash and blow off dry leaf surfaces and don’t release as predictably as finer ground materials. (2013, R. Lehnert, </w:t>
      </w:r>
      <w:r>
        <w:rPr>
          <w:i/>
          <w:iCs/>
        </w:rPr>
        <w:t>Working with Copper)</w:t>
      </w:r>
    </w:p>
    <w:p w14:paraId="61769CB3" w14:textId="77777777" w:rsidR="00346340" w:rsidRDefault="00346340" w:rsidP="00346340">
      <w:r>
        <w:t>Table 2 lists some of the more common copper containing products with average particle sizes in the right hand column. Notice that the soluble materials have a “0” or no size specified and depending on the type of copper may have a lower percent of metallic copper to reduce risk of injury.</w:t>
      </w:r>
    </w:p>
    <w:p w14:paraId="1E66624F" w14:textId="77777777" w:rsidR="00346340" w:rsidRPr="00CD6FC4" w:rsidRDefault="00346340" w:rsidP="00346340">
      <w:r>
        <w:t>Table 2.</w:t>
      </w:r>
    </w:p>
    <w:tbl>
      <w:tblPr>
        <w:tblStyle w:val="TableGrid"/>
        <w:tblW w:w="0" w:type="auto"/>
        <w:tblLook w:val="04A0" w:firstRow="1" w:lastRow="0" w:firstColumn="1" w:lastColumn="0" w:noHBand="0" w:noVBand="1"/>
      </w:tblPr>
      <w:tblGrid>
        <w:gridCol w:w="1870"/>
        <w:gridCol w:w="1870"/>
        <w:gridCol w:w="1870"/>
        <w:gridCol w:w="1870"/>
        <w:gridCol w:w="1870"/>
      </w:tblGrid>
      <w:tr w:rsidR="00346340" w14:paraId="189B1A73" w14:textId="77777777" w:rsidTr="00EA246B">
        <w:tc>
          <w:tcPr>
            <w:tcW w:w="1870" w:type="dxa"/>
          </w:tcPr>
          <w:p w14:paraId="58D63E06" w14:textId="77777777" w:rsidR="00346340" w:rsidRPr="00CD6FC4" w:rsidRDefault="00346340" w:rsidP="00EA246B">
            <w:pPr>
              <w:rPr>
                <w:b/>
                <w:bCs/>
              </w:rPr>
            </w:pPr>
            <w:r w:rsidRPr="00CD6FC4">
              <w:rPr>
                <w:b/>
                <w:bCs/>
              </w:rPr>
              <w:t>Product Name</w:t>
            </w:r>
          </w:p>
        </w:tc>
        <w:tc>
          <w:tcPr>
            <w:tcW w:w="1870" w:type="dxa"/>
          </w:tcPr>
          <w:p w14:paraId="2E165767" w14:textId="77777777" w:rsidR="00346340" w:rsidRPr="00CD6FC4" w:rsidRDefault="00346340" w:rsidP="00EA246B">
            <w:pPr>
              <w:rPr>
                <w:b/>
                <w:bCs/>
              </w:rPr>
            </w:pPr>
            <w:r w:rsidRPr="00CD6FC4">
              <w:rPr>
                <w:b/>
                <w:bCs/>
              </w:rPr>
              <w:t>Active Ingredient</w:t>
            </w:r>
          </w:p>
        </w:tc>
        <w:tc>
          <w:tcPr>
            <w:tcW w:w="1870" w:type="dxa"/>
          </w:tcPr>
          <w:p w14:paraId="2A23E17C" w14:textId="77777777" w:rsidR="00346340" w:rsidRPr="00CD6FC4" w:rsidRDefault="00346340" w:rsidP="00EA246B">
            <w:pPr>
              <w:rPr>
                <w:b/>
                <w:bCs/>
              </w:rPr>
            </w:pPr>
            <w:r w:rsidRPr="00CD6FC4">
              <w:rPr>
                <w:b/>
                <w:bCs/>
              </w:rPr>
              <w:t>% Active</w:t>
            </w:r>
          </w:p>
          <w:p w14:paraId="3D8E2E6F" w14:textId="77777777" w:rsidR="00346340" w:rsidRPr="00CD6FC4" w:rsidRDefault="00346340" w:rsidP="00EA246B">
            <w:pPr>
              <w:rPr>
                <w:b/>
                <w:bCs/>
              </w:rPr>
            </w:pPr>
            <w:r w:rsidRPr="00CD6FC4">
              <w:rPr>
                <w:b/>
                <w:bCs/>
              </w:rPr>
              <w:t>Ingredient</w:t>
            </w:r>
          </w:p>
        </w:tc>
        <w:tc>
          <w:tcPr>
            <w:tcW w:w="1870" w:type="dxa"/>
          </w:tcPr>
          <w:p w14:paraId="129830BE" w14:textId="77777777" w:rsidR="00346340" w:rsidRPr="00CD6FC4" w:rsidRDefault="00346340" w:rsidP="00EA246B">
            <w:pPr>
              <w:rPr>
                <w:b/>
                <w:bCs/>
              </w:rPr>
            </w:pPr>
            <w:r w:rsidRPr="00CD6FC4">
              <w:rPr>
                <w:b/>
                <w:bCs/>
              </w:rPr>
              <w:t>% Metallic</w:t>
            </w:r>
          </w:p>
          <w:p w14:paraId="7392A962" w14:textId="77777777" w:rsidR="00346340" w:rsidRPr="00CD6FC4" w:rsidRDefault="00346340" w:rsidP="00EA246B">
            <w:pPr>
              <w:rPr>
                <w:b/>
                <w:bCs/>
              </w:rPr>
            </w:pPr>
            <w:r w:rsidRPr="00CD6FC4">
              <w:rPr>
                <w:b/>
                <w:bCs/>
              </w:rPr>
              <w:t>Copper</w:t>
            </w:r>
          </w:p>
        </w:tc>
        <w:tc>
          <w:tcPr>
            <w:tcW w:w="1870" w:type="dxa"/>
          </w:tcPr>
          <w:p w14:paraId="5C7915ED" w14:textId="77777777" w:rsidR="00346340" w:rsidRPr="00CD6FC4" w:rsidRDefault="00346340" w:rsidP="00EA246B">
            <w:pPr>
              <w:rPr>
                <w:b/>
                <w:bCs/>
              </w:rPr>
            </w:pPr>
            <w:r w:rsidRPr="00CD6FC4">
              <w:rPr>
                <w:b/>
                <w:bCs/>
              </w:rPr>
              <w:t>Mean</w:t>
            </w:r>
          </w:p>
          <w:p w14:paraId="2C4B12B8" w14:textId="77777777" w:rsidR="00346340" w:rsidRPr="00CD6FC4" w:rsidRDefault="00346340" w:rsidP="00EA246B">
            <w:pPr>
              <w:rPr>
                <w:b/>
                <w:bCs/>
              </w:rPr>
            </w:pPr>
            <w:r w:rsidRPr="00CD6FC4">
              <w:rPr>
                <w:b/>
                <w:bCs/>
              </w:rPr>
              <w:t>Particle size</w:t>
            </w:r>
          </w:p>
          <w:p w14:paraId="5719ECB7" w14:textId="77777777" w:rsidR="00346340" w:rsidRPr="00CD6FC4" w:rsidRDefault="00346340" w:rsidP="00EA246B">
            <w:pPr>
              <w:rPr>
                <w:b/>
                <w:bCs/>
              </w:rPr>
            </w:pPr>
            <w:r w:rsidRPr="00CD6FC4">
              <w:rPr>
                <w:b/>
                <w:bCs/>
              </w:rPr>
              <w:t>(microns)</w:t>
            </w:r>
          </w:p>
        </w:tc>
      </w:tr>
      <w:tr w:rsidR="00346340" w14:paraId="618C93FD" w14:textId="77777777" w:rsidTr="00EA246B">
        <w:tc>
          <w:tcPr>
            <w:tcW w:w="1870" w:type="dxa"/>
          </w:tcPr>
          <w:p w14:paraId="11526BD2" w14:textId="77777777" w:rsidR="00346340" w:rsidRDefault="00346340" w:rsidP="00EA246B">
            <w:r w:rsidRPr="006C1B64">
              <w:t xml:space="preserve">Cueva </w:t>
            </w:r>
          </w:p>
        </w:tc>
        <w:tc>
          <w:tcPr>
            <w:tcW w:w="1870" w:type="dxa"/>
          </w:tcPr>
          <w:p w14:paraId="21FF1A0D" w14:textId="77777777" w:rsidR="00346340" w:rsidRDefault="00346340" w:rsidP="00EA246B">
            <w:r w:rsidRPr="006C1B64">
              <w:t xml:space="preserve">Copper octanoate </w:t>
            </w:r>
          </w:p>
        </w:tc>
        <w:tc>
          <w:tcPr>
            <w:tcW w:w="1870" w:type="dxa"/>
          </w:tcPr>
          <w:p w14:paraId="5297387E" w14:textId="77777777" w:rsidR="00346340" w:rsidRDefault="00346340" w:rsidP="00EA246B">
            <w:r w:rsidRPr="006C1B64">
              <w:t xml:space="preserve">10.0 </w:t>
            </w:r>
          </w:p>
        </w:tc>
        <w:tc>
          <w:tcPr>
            <w:tcW w:w="1870" w:type="dxa"/>
          </w:tcPr>
          <w:p w14:paraId="0E5F1677" w14:textId="77777777" w:rsidR="00346340" w:rsidRDefault="00346340" w:rsidP="00EA246B">
            <w:r w:rsidRPr="006C1B64">
              <w:t>1.8</w:t>
            </w:r>
          </w:p>
        </w:tc>
        <w:tc>
          <w:tcPr>
            <w:tcW w:w="1870" w:type="dxa"/>
          </w:tcPr>
          <w:p w14:paraId="70ED7ACA" w14:textId="77777777" w:rsidR="00346340" w:rsidRDefault="00346340" w:rsidP="00EA246B"/>
        </w:tc>
      </w:tr>
      <w:tr w:rsidR="00346340" w14:paraId="7E2D0033" w14:textId="77777777" w:rsidTr="00EA246B">
        <w:tc>
          <w:tcPr>
            <w:tcW w:w="1870" w:type="dxa"/>
          </w:tcPr>
          <w:p w14:paraId="69162D72" w14:textId="77777777" w:rsidR="00346340" w:rsidRDefault="00346340" w:rsidP="00EA246B">
            <w:r>
              <w:t>Mastercop (soluble)</w:t>
            </w:r>
          </w:p>
        </w:tc>
        <w:tc>
          <w:tcPr>
            <w:tcW w:w="1870" w:type="dxa"/>
          </w:tcPr>
          <w:p w14:paraId="12DA54C5" w14:textId="77777777" w:rsidR="00346340" w:rsidRDefault="00346340" w:rsidP="00EA246B">
            <w:r>
              <w:t>Copper sulfate</w:t>
            </w:r>
          </w:p>
          <w:p w14:paraId="5CF2C1B0" w14:textId="77777777" w:rsidR="00346340" w:rsidRDefault="00346340" w:rsidP="00EA246B">
            <w:r>
              <w:t>pentahydrate</w:t>
            </w:r>
          </w:p>
        </w:tc>
        <w:tc>
          <w:tcPr>
            <w:tcW w:w="1870" w:type="dxa"/>
          </w:tcPr>
          <w:p w14:paraId="67FD58A6" w14:textId="77777777" w:rsidR="00346340" w:rsidRDefault="00346340" w:rsidP="00EA246B">
            <w:r>
              <w:t>21.46</w:t>
            </w:r>
          </w:p>
        </w:tc>
        <w:tc>
          <w:tcPr>
            <w:tcW w:w="1870" w:type="dxa"/>
          </w:tcPr>
          <w:p w14:paraId="7D3EBEBA" w14:textId="77777777" w:rsidR="00346340" w:rsidRDefault="00346340" w:rsidP="00EA246B">
            <w:r>
              <w:t>5.4</w:t>
            </w:r>
          </w:p>
        </w:tc>
        <w:tc>
          <w:tcPr>
            <w:tcW w:w="1870" w:type="dxa"/>
          </w:tcPr>
          <w:p w14:paraId="6B27F162" w14:textId="77777777" w:rsidR="00346340" w:rsidRPr="00CD6FC4" w:rsidRDefault="00346340" w:rsidP="00EA246B">
            <w:r>
              <w:t>0</w:t>
            </w:r>
          </w:p>
          <w:p w14:paraId="76643AB4" w14:textId="77777777" w:rsidR="00346340" w:rsidRDefault="00346340" w:rsidP="00EA246B"/>
        </w:tc>
      </w:tr>
      <w:tr w:rsidR="00346340" w14:paraId="7851ACE2" w14:textId="77777777" w:rsidTr="00EA246B">
        <w:tc>
          <w:tcPr>
            <w:tcW w:w="1870" w:type="dxa"/>
          </w:tcPr>
          <w:p w14:paraId="1F6DABA0" w14:textId="77777777" w:rsidR="00346340" w:rsidRDefault="00346340" w:rsidP="00EA246B">
            <w:r w:rsidRPr="008C5130">
              <w:t>Kocide 3000</w:t>
            </w:r>
          </w:p>
        </w:tc>
        <w:tc>
          <w:tcPr>
            <w:tcW w:w="1870" w:type="dxa"/>
          </w:tcPr>
          <w:p w14:paraId="4D5DDFC8" w14:textId="77777777" w:rsidR="00346340" w:rsidRDefault="00346340" w:rsidP="00EA246B">
            <w:r w:rsidRPr="008C5130">
              <w:t>Copper hydroxide</w:t>
            </w:r>
          </w:p>
        </w:tc>
        <w:tc>
          <w:tcPr>
            <w:tcW w:w="1870" w:type="dxa"/>
          </w:tcPr>
          <w:p w14:paraId="255EE083" w14:textId="77777777" w:rsidR="00346340" w:rsidRDefault="00346340" w:rsidP="00EA246B">
            <w:r w:rsidRPr="008C5130">
              <w:t>30 DF</w:t>
            </w:r>
          </w:p>
        </w:tc>
        <w:tc>
          <w:tcPr>
            <w:tcW w:w="1870" w:type="dxa"/>
          </w:tcPr>
          <w:p w14:paraId="43D7C7CC" w14:textId="77777777" w:rsidR="00346340" w:rsidRDefault="00346340" w:rsidP="00EA246B">
            <w:r w:rsidRPr="008C5130">
              <w:t>30</w:t>
            </w:r>
          </w:p>
        </w:tc>
        <w:tc>
          <w:tcPr>
            <w:tcW w:w="1870" w:type="dxa"/>
          </w:tcPr>
          <w:p w14:paraId="4818BE84" w14:textId="77777777" w:rsidR="00346340" w:rsidRDefault="00346340" w:rsidP="00EA246B">
            <w:r w:rsidRPr="008C5130">
              <w:t>2.5 – 3.1</w:t>
            </w:r>
          </w:p>
        </w:tc>
      </w:tr>
      <w:tr w:rsidR="00346340" w14:paraId="20C860A3" w14:textId="77777777" w:rsidTr="00EA246B">
        <w:tc>
          <w:tcPr>
            <w:tcW w:w="1870" w:type="dxa"/>
          </w:tcPr>
          <w:p w14:paraId="70625F9F" w14:textId="77777777" w:rsidR="00346340" w:rsidRDefault="00346340" w:rsidP="00EA246B">
            <w:r>
              <w:t>Champ Formula 2</w:t>
            </w:r>
          </w:p>
          <w:p w14:paraId="08FB4AFB" w14:textId="77777777" w:rsidR="00346340" w:rsidRDefault="00346340" w:rsidP="00EA246B">
            <w:r>
              <w:t>Flowable</w:t>
            </w:r>
          </w:p>
        </w:tc>
        <w:tc>
          <w:tcPr>
            <w:tcW w:w="1870" w:type="dxa"/>
          </w:tcPr>
          <w:p w14:paraId="2B78282C" w14:textId="77777777" w:rsidR="00346340" w:rsidRDefault="00346340" w:rsidP="00EA246B">
            <w:r>
              <w:t>Copper hydroxide</w:t>
            </w:r>
          </w:p>
        </w:tc>
        <w:tc>
          <w:tcPr>
            <w:tcW w:w="1870" w:type="dxa"/>
          </w:tcPr>
          <w:p w14:paraId="3BA9E12C" w14:textId="77777777" w:rsidR="00346340" w:rsidRDefault="00346340" w:rsidP="00EA246B">
            <w:r>
              <w:t>37.5 F</w:t>
            </w:r>
          </w:p>
        </w:tc>
        <w:tc>
          <w:tcPr>
            <w:tcW w:w="1870" w:type="dxa"/>
          </w:tcPr>
          <w:p w14:paraId="7F302FDE" w14:textId="77777777" w:rsidR="00346340" w:rsidRDefault="00346340" w:rsidP="00EA246B">
            <w:r>
              <w:t>24.4</w:t>
            </w:r>
          </w:p>
        </w:tc>
        <w:tc>
          <w:tcPr>
            <w:tcW w:w="1870" w:type="dxa"/>
          </w:tcPr>
          <w:p w14:paraId="76A96483" w14:textId="77777777" w:rsidR="00346340" w:rsidRPr="00CD6FC4" w:rsidRDefault="00346340" w:rsidP="00EA246B">
            <w:r>
              <w:t>1.2</w:t>
            </w:r>
          </w:p>
          <w:p w14:paraId="5B81E202" w14:textId="77777777" w:rsidR="00346340" w:rsidRDefault="00346340" w:rsidP="00EA246B"/>
        </w:tc>
      </w:tr>
      <w:tr w:rsidR="00346340" w14:paraId="44489D26" w14:textId="77777777" w:rsidTr="00EA246B">
        <w:tc>
          <w:tcPr>
            <w:tcW w:w="1870" w:type="dxa"/>
          </w:tcPr>
          <w:p w14:paraId="423014FF" w14:textId="77777777" w:rsidR="00346340" w:rsidRDefault="00346340" w:rsidP="00EA246B">
            <w:r w:rsidRPr="008C5130">
              <w:t>Nu-Cop</w:t>
            </w:r>
          </w:p>
        </w:tc>
        <w:tc>
          <w:tcPr>
            <w:tcW w:w="1870" w:type="dxa"/>
          </w:tcPr>
          <w:p w14:paraId="49A254ED" w14:textId="77777777" w:rsidR="00346340" w:rsidRDefault="00346340" w:rsidP="00EA246B">
            <w:r w:rsidRPr="008C5130">
              <w:t>Copper hydroxide</w:t>
            </w:r>
          </w:p>
        </w:tc>
        <w:tc>
          <w:tcPr>
            <w:tcW w:w="1870" w:type="dxa"/>
          </w:tcPr>
          <w:p w14:paraId="73A0DD37" w14:textId="77777777" w:rsidR="00346340" w:rsidRDefault="00346340" w:rsidP="00EA246B">
            <w:r w:rsidRPr="008C5130">
              <w:t>76.77</w:t>
            </w:r>
          </w:p>
        </w:tc>
        <w:tc>
          <w:tcPr>
            <w:tcW w:w="1870" w:type="dxa"/>
          </w:tcPr>
          <w:p w14:paraId="7D536E01" w14:textId="77777777" w:rsidR="00346340" w:rsidRDefault="00346340" w:rsidP="00EA246B">
            <w:r w:rsidRPr="008C5130">
              <w:t>50</w:t>
            </w:r>
          </w:p>
        </w:tc>
        <w:tc>
          <w:tcPr>
            <w:tcW w:w="1870" w:type="dxa"/>
          </w:tcPr>
          <w:p w14:paraId="04B01347" w14:textId="77777777" w:rsidR="00346340" w:rsidRPr="00CD6FC4" w:rsidRDefault="00346340" w:rsidP="00EA246B">
            <w:r w:rsidRPr="008C5130">
              <w:t>2.4</w:t>
            </w:r>
          </w:p>
          <w:p w14:paraId="71E04875" w14:textId="77777777" w:rsidR="00346340" w:rsidRDefault="00346340" w:rsidP="00EA246B"/>
        </w:tc>
      </w:tr>
    </w:tbl>
    <w:p w14:paraId="30C1A355" w14:textId="77777777" w:rsidR="00346340" w:rsidRDefault="00346340" w:rsidP="00346340"/>
    <w:p w14:paraId="1892C821" w14:textId="45ECDDC9" w:rsidR="00C117A2" w:rsidRPr="00B413BF" w:rsidRDefault="00346340" w:rsidP="001C2323">
      <w:pPr>
        <w:spacing w:after="0" w:line="240" w:lineRule="auto"/>
      </w:pPr>
      <w:r>
        <w:t xml:space="preserve">For more information on copper fungicides and avoiding toxicity see the following article or contact your UF IFAS County Extension Agent. </w:t>
      </w:r>
      <w:hyperlink r:id="rId6" w:history="1">
        <w:r w:rsidRPr="00BF2069">
          <w:rPr>
            <w:rStyle w:val="Hyperlink"/>
          </w:rPr>
          <w:t>https://cvp.cce.cornell.edu/submission.php?id=140</w:t>
        </w:r>
      </w:hyperlink>
      <w:r w:rsidR="001C2323">
        <w:rPr>
          <w:rStyle w:val="Hyperlink"/>
        </w:rPr>
        <w:t xml:space="preserve">  (</w:t>
      </w:r>
      <w:r w:rsidRPr="00346340">
        <w:rPr>
          <w:rStyle w:val="Hyperlink"/>
          <w:color w:val="auto"/>
          <w:u w:val="none"/>
        </w:rPr>
        <w:t>This article</w:t>
      </w:r>
      <w:r>
        <w:rPr>
          <w:rStyle w:val="Hyperlink"/>
          <w:color w:val="auto"/>
          <w:u w:val="none"/>
        </w:rPr>
        <w:t xml:space="preserve"> on copper</w:t>
      </w:r>
      <w:r w:rsidRPr="00346340">
        <w:rPr>
          <w:rStyle w:val="Hyperlink"/>
          <w:color w:val="auto"/>
          <w:u w:val="none"/>
        </w:rPr>
        <w:t xml:space="preserve"> was written by Mark Warren and reviewed by Mathews Paret)</w:t>
      </w:r>
    </w:p>
    <w:sectPr w:rsidR="00C117A2" w:rsidRPr="00B41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D0BB5"/>
    <w:multiLevelType w:val="hybridMultilevel"/>
    <w:tmpl w:val="9B5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57694"/>
    <w:rsid w:val="0007172D"/>
    <w:rsid w:val="0010371E"/>
    <w:rsid w:val="0018385B"/>
    <w:rsid w:val="0019605B"/>
    <w:rsid w:val="001A52A9"/>
    <w:rsid w:val="001C2323"/>
    <w:rsid w:val="00225064"/>
    <w:rsid w:val="00227C83"/>
    <w:rsid w:val="002A252A"/>
    <w:rsid w:val="002C6E6F"/>
    <w:rsid w:val="002D4655"/>
    <w:rsid w:val="002F1199"/>
    <w:rsid w:val="002F697D"/>
    <w:rsid w:val="00327DD3"/>
    <w:rsid w:val="003400FC"/>
    <w:rsid w:val="00346340"/>
    <w:rsid w:val="003961CF"/>
    <w:rsid w:val="003E6F46"/>
    <w:rsid w:val="00431650"/>
    <w:rsid w:val="00495C0F"/>
    <w:rsid w:val="004A2C3A"/>
    <w:rsid w:val="00536310"/>
    <w:rsid w:val="005648C0"/>
    <w:rsid w:val="00583BED"/>
    <w:rsid w:val="005A3E75"/>
    <w:rsid w:val="005E2605"/>
    <w:rsid w:val="00686706"/>
    <w:rsid w:val="008031CB"/>
    <w:rsid w:val="00825AE5"/>
    <w:rsid w:val="008A2923"/>
    <w:rsid w:val="008A50FC"/>
    <w:rsid w:val="00901B36"/>
    <w:rsid w:val="00923AF4"/>
    <w:rsid w:val="00944BCA"/>
    <w:rsid w:val="00953C8C"/>
    <w:rsid w:val="00954F6C"/>
    <w:rsid w:val="00965E31"/>
    <w:rsid w:val="009B4AFF"/>
    <w:rsid w:val="00A13F36"/>
    <w:rsid w:val="00A14CF3"/>
    <w:rsid w:val="00A82169"/>
    <w:rsid w:val="00A941E1"/>
    <w:rsid w:val="00AB02A8"/>
    <w:rsid w:val="00AB203B"/>
    <w:rsid w:val="00B0324B"/>
    <w:rsid w:val="00B062A9"/>
    <w:rsid w:val="00B40A68"/>
    <w:rsid w:val="00B413A3"/>
    <w:rsid w:val="00B413BF"/>
    <w:rsid w:val="00C117A2"/>
    <w:rsid w:val="00C24148"/>
    <w:rsid w:val="00C818E1"/>
    <w:rsid w:val="00D31488"/>
    <w:rsid w:val="00D81BDA"/>
    <w:rsid w:val="00E40585"/>
    <w:rsid w:val="00E454F8"/>
    <w:rsid w:val="00EF3342"/>
    <w:rsid w:val="00FB73DD"/>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p.cce.cornell.edu/submission.php?id=140" TargetMode="Externa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cp:revision>
  <dcterms:created xsi:type="dcterms:W3CDTF">2022-03-21T15:12:00Z</dcterms:created>
  <dcterms:modified xsi:type="dcterms:W3CDTF">2022-03-21T15:27:00Z</dcterms:modified>
</cp:coreProperties>
</file>